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right="-690" w:rightChars="-329"/>
        <w:textAlignment w:val="bottom"/>
        <w:rPr>
          <w:rFonts w:hint="eastAsia" w:ascii="仿宋_GB2312" w:hAnsi="宋体" w:eastAsia="仿宋_GB2312" w:cs="宋体"/>
          <w:kern w:val="0"/>
          <w:sz w:val="32"/>
          <w:szCs w:val="32"/>
        </w:rPr>
      </w:pPr>
    </w:p>
    <w:p>
      <w:pPr>
        <w:spacing w:line="720" w:lineRule="exact"/>
        <w:ind w:right="-690" w:rightChars="-329"/>
        <w:jc w:val="center"/>
        <w:textAlignment w:val="bottom"/>
        <w:rPr>
          <w:rFonts w:hint="eastAsia" w:ascii="仿宋_GB2312" w:hAnsi="宋体" w:eastAsia="仿宋_GB2312" w:cs="宋体"/>
          <w:kern w:val="0"/>
          <w:sz w:val="44"/>
          <w:szCs w:val="44"/>
        </w:rPr>
      </w:pPr>
    </w:p>
    <w:p>
      <w:pPr>
        <w:spacing w:line="720" w:lineRule="exact"/>
        <w:ind w:right="-690" w:rightChars="-329"/>
        <w:jc w:val="center"/>
        <w:textAlignment w:val="bottom"/>
        <w:rPr>
          <w:rFonts w:hint="eastAsia" w:ascii="仿宋_GB2312" w:hAnsi="宋体" w:eastAsia="仿宋_GB2312" w:cs="宋体"/>
          <w:kern w:val="0"/>
          <w:sz w:val="24"/>
        </w:rPr>
      </w:pPr>
    </w:p>
    <w:p>
      <w:pPr>
        <w:spacing w:line="720" w:lineRule="exact"/>
        <w:ind w:right="-690" w:rightChars="-329"/>
        <w:jc w:val="center"/>
        <w:textAlignment w:val="bottom"/>
        <w:rPr>
          <w:rFonts w:hint="eastAsia" w:ascii="仿宋_GB2312" w:hAnsi="宋体" w:eastAsia="仿宋_GB2312" w:cs="宋体"/>
          <w:kern w:val="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shd w:val="clear" w:color="auto" w:fill="FFFFFF"/>
        <w:spacing w:line="620" w:lineRule="exact"/>
        <w:jc w:val="center"/>
        <w:rPr>
          <w:rFonts w:hint="eastAsia" w:ascii="仿宋" w:hAnsi="仿宋" w:eastAsia="仿宋" w:cs="仿宋"/>
          <w:sz w:val="32"/>
          <w:szCs w:val="32"/>
        </w:rPr>
      </w:pPr>
      <w:r>
        <w:rPr>
          <w:rFonts w:hint="eastAsia" w:ascii="仿宋" w:hAnsi="仿宋" w:eastAsia="仿宋" w:cs="仿宋"/>
          <w:sz w:val="32"/>
          <w:szCs w:val="32"/>
        </w:rPr>
        <w:t>临市</w:t>
      </w:r>
      <w:r>
        <w:rPr>
          <w:rFonts w:hint="eastAsia" w:ascii="仿宋" w:hAnsi="仿宋" w:eastAsia="仿宋" w:cs="仿宋"/>
          <w:sz w:val="32"/>
          <w:szCs w:val="32"/>
          <w:lang w:eastAsia="zh-CN"/>
        </w:rPr>
        <w:t>府发</w:t>
      </w:r>
      <w:r>
        <w:rPr>
          <w:rFonts w:hint="eastAsia" w:ascii="仿宋" w:hAnsi="仿宋" w:eastAsia="仿宋" w:cs="仿宋"/>
          <w:kern w:val="0"/>
          <w:sz w:val="32"/>
          <w:szCs w:val="32"/>
        </w:rPr>
        <w:t>〔2017〕</w:t>
      </w:r>
      <w:r>
        <w:rPr>
          <w:rFonts w:hint="eastAsia" w:ascii="仿宋" w:hAnsi="仿宋" w:eastAsia="仿宋" w:cs="仿宋"/>
          <w:sz w:val="32"/>
          <w:szCs w:val="32"/>
          <w:lang w:val="en-US" w:eastAsia="zh-CN"/>
        </w:rPr>
        <w:t>90</w:t>
      </w:r>
      <w:r>
        <w:rPr>
          <w:rFonts w:hint="eastAsia" w:ascii="仿宋" w:hAnsi="仿宋" w:eastAsia="仿宋" w:cs="仿宋"/>
          <w:sz w:val="32"/>
          <w:szCs w:val="32"/>
        </w:rPr>
        <w:t>号</w:t>
      </w:r>
    </w:p>
    <w:p>
      <w:pPr>
        <w:pStyle w:val="6"/>
        <w:spacing w:before="0" w:beforeAutospacing="0" w:after="0" w:afterAutospacing="0" w:line="600" w:lineRule="exact"/>
        <w:jc w:val="both"/>
        <w:rPr>
          <w:rFonts w:hint="eastAsia" w:ascii="方正小标宋简体" w:hAnsi="方正小标宋简体" w:eastAsia="方正小标宋简体" w:cs="方正小标宋简体"/>
          <w:b w:val="0"/>
          <w:bCs w:val="0"/>
          <w:sz w:val="44"/>
          <w:szCs w:val="44"/>
        </w:rPr>
      </w:pPr>
    </w:p>
    <w:p>
      <w:pPr>
        <w:jc w:val="center"/>
        <w:rPr>
          <w:rFonts w:hint="eastAsia" w:ascii="宋体" w:hAnsi="宋体"/>
          <w:b/>
          <w:sz w:val="44"/>
          <w:szCs w:val="44"/>
          <w:lang w:val="en-US" w:eastAsia="zh-CN"/>
        </w:rPr>
      </w:pPr>
      <w:r>
        <w:rPr>
          <w:rFonts w:hint="eastAsia" w:ascii="宋体" w:hAnsi="宋体"/>
          <w:b/>
          <w:sz w:val="44"/>
          <w:szCs w:val="44"/>
          <w:lang w:eastAsia="zh-CN"/>
        </w:rPr>
        <w:t>关于印发《</w:t>
      </w:r>
      <w:r>
        <w:rPr>
          <w:rFonts w:hint="eastAsia" w:ascii="宋体" w:hAnsi="宋体"/>
          <w:b/>
          <w:sz w:val="44"/>
          <w:szCs w:val="44"/>
          <w:lang w:val="en-US" w:eastAsia="zh-CN"/>
        </w:rPr>
        <w:t>2017年临夏市“一乡一农机</w:t>
      </w:r>
    </w:p>
    <w:p>
      <w:pPr>
        <w:jc w:val="center"/>
        <w:rPr>
          <w:rFonts w:hint="eastAsia" w:ascii="宋体" w:hAnsi="宋体"/>
          <w:b/>
          <w:sz w:val="44"/>
          <w:szCs w:val="44"/>
          <w:lang w:val="en-US" w:eastAsia="zh-CN"/>
        </w:rPr>
      </w:pPr>
      <w:r>
        <w:rPr>
          <w:rFonts w:hint="eastAsia" w:ascii="宋体" w:hAnsi="宋体"/>
          <w:b/>
          <w:sz w:val="44"/>
          <w:szCs w:val="44"/>
          <w:lang w:val="en-US" w:eastAsia="zh-CN"/>
        </w:rPr>
        <w:t>合作社”建设实施方案》的通知</w:t>
      </w:r>
    </w:p>
    <w:p>
      <w:pPr>
        <w:jc w:val="center"/>
        <w:rPr>
          <w:rFonts w:hint="eastAsia" w:ascii="宋体" w:hAnsi="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各镇人民政府、市直有关部门：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构建新型农机社会化服务体系，进一步提高全市各镇农机合作社覆盖率，加快推进我市农业机械化进程，根据甘农牧发【2017】37号《甘肃省农牧厅关于印发&lt;2017年甘肃省“一乡一农机合作社”建设试点方案&gt;的通知》和临州农机管发[2017]12号《临夏州农机局关于印发&lt;2017年临夏州“一乡一农机合作社”建设试点方案&gt;的通知》精神，经市政府研究，现将《2017年临夏市“一乡一农机合作社”建设实施方案》印发你们，请遵照执行。</w:t>
      </w:r>
    </w:p>
    <w:p>
      <w:pPr>
        <w:spacing w:line="6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640" w:lineRule="exact"/>
        <w:jc w:val="both"/>
        <w:rPr>
          <w:rFonts w:hint="eastAsia" w:ascii="仿宋" w:hAnsi="仿宋" w:eastAsia="仿宋" w:cs="仿宋"/>
          <w:sz w:val="32"/>
          <w:szCs w:val="32"/>
          <w:lang w:val="en-US" w:eastAsia="zh-CN"/>
        </w:rPr>
        <w:sectPr>
          <w:headerReference r:id="rId3" w:type="default"/>
          <w:pgSz w:w="11906" w:h="16838"/>
          <w:pgMar w:top="1440" w:right="1800" w:bottom="1440" w:left="1800" w:header="851" w:footer="992" w:gutter="0"/>
          <w:cols w:space="720" w:num="1"/>
          <w:docGrid w:type="lines" w:linePitch="312" w:charSpace="0"/>
        </w:sectPr>
      </w:pPr>
    </w:p>
    <w:p>
      <w:pPr>
        <w:spacing w:line="6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6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此页无正文</w:t>
      </w: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p>
    <w:p>
      <w:pPr>
        <w:spacing w:line="6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6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临夏市人民政府</w:t>
      </w:r>
    </w:p>
    <w:p>
      <w:pPr>
        <w:spacing w:line="6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2017年6月6日</w:t>
      </w:r>
    </w:p>
    <w:p>
      <w:pPr>
        <w:spacing w:line="640" w:lineRule="exact"/>
        <w:jc w:val="both"/>
        <w:rPr>
          <w:rFonts w:hint="eastAsia" w:ascii="仿宋" w:hAnsi="仿宋" w:eastAsia="仿宋" w:cs="仿宋"/>
          <w:sz w:val="32"/>
          <w:szCs w:val="32"/>
          <w:lang w:val="en-US" w:eastAsia="zh-CN"/>
        </w:rPr>
      </w:pPr>
    </w:p>
    <w:p>
      <w:pPr>
        <w:spacing w:line="540" w:lineRule="exact"/>
        <w:jc w:val="left"/>
        <w:textAlignment w:val="bottom"/>
        <w:rPr>
          <w:rFonts w:hint="eastAsia" w:ascii="仿宋" w:hAnsi="仿宋" w:eastAsia="仿宋" w:cs="仿宋"/>
          <w:sz w:val="32"/>
          <w:szCs w:val="32"/>
          <w:u w:val="single"/>
        </w:rPr>
      </w:pPr>
      <w:r>
        <w:rPr>
          <w:rFonts w:hint="eastAsia" w:ascii="仿宋" w:hAnsi="仿宋" w:eastAsia="仿宋" w:cs="仿宋"/>
          <w:spacing w:val="-17"/>
          <w:sz w:val="32"/>
          <w:szCs w:val="32"/>
          <w:u w:val="single"/>
        </w:rPr>
        <w:t xml:space="preserve">                                                           </w:t>
      </w:r>
      <w:r>
        <w:rPr>
          <w:rFonts w:hint="eastAsia" w:ascii="仿宋" w:hAnsi="仿宋" w:eastAsia="仿宋" w:cs="仿宋"/>
          <w:sz w:val="32"/>
          <w:szCs w:val="32"/>
          <w:u w:val="single"/>
        </w:rPr>
        <w:t xml:space="preserve">      </w:t>
      </w:r>
    </w:p>
    <w:p>
      <w:pPr>
        <w:spacing w:line="540" w:lineRule="exact"/>
        <w:jc w:val="left"/>
        <w:textAlignment w:val="bottom"/>
        <w:rPr>
          <w:rFonts w:hint="eastAsia" w:ascii="仿宋" w:hAnsi="仿宋" w:eastAsia="仿宋" w:cs="仿宋"/>
          <w:spacing w:val="-17"/>
          <w:sz w:val="32"/>
          <w:szCs w:val="32"/>
          <w:u w:val="none"/>
        </w:rPr>
      </w:pPr>
      <w:r>
        <w:rPr>
          <w:rFonts w:hint="eastAsia" w:ascii="仿宋" w:hAnsi="仿宋" w:eastAsia="仿宋" w:cs="仿宋"/>
          <w:sz w:val="32"/>
          <w:szCs w:val="32"/>
          <w:u w:val="none"/>
          <w:lang w:eastAsia="zh-CN"/>
        </w:rPr>
        <w:t>抄报：州财政局、州农机局</w:t>
      </w:r>
      <w:r>
        <w:rPr>
          <w:rFonts w:hint="eastAsia" w:ascii="仿宋" w:hAnsi="仿宋" w:eastAsia="仿宋" w:cs="仿宋"/>
          <w:sz w:val="32"/>
          <w:szCs w:val="32"/>
          <w:u w:val="none"/>
        </w:rPr>
        <w:t xml:space="preserve">  </w:t>
      </w:r>
    </w:p>
    <w:p>
      <w:pPr>
        <w:spacing w:line="540" w:lineRule="exact"/>
        <w:rPr>
          <w:rFonts w:hint="eastAsia" w:ascii="仿宋" w:hAnsi="仿宋" w:eastAsia="仿宋" w:cs="仿宋"/>
          <w:sz w:val="32"/>
          <w:szCs w:val="32"/>
          <w:u w:val="single"/>
        </w:rPr>
      </w:pPr>
      <w:r>
        <w:rPr>
          <w:rFonts w:hint="eastAsia" w:ascii="仿宋" w:hAnsi="仿宋" w:eastAsia="仿宋" w:cs="仿宋"/>
          <w:sz w:val="32"/>
          <w:szCs w:val="32"/>
          <w:u w:val="single"/>
        </w:rPr>
        <w:t>抄送：</w:t>
      </w:r>
      <w:r>
        <w:rPr>
          <w:rFonts w:hint="eastAsia" w:ascii="仿宋" w:hAnsi="仿宋" w:eastAsia="仿宋" w:cs="仿宋"/>
          <w:sz w:val="32"/>
          <w:szCs w:val="32"/>
          <w:u w:val="single"/>
          <w:lang w:eastAsia="zh-CN"/>
        </w:rPr>
        <w:t>市委、市人大、市政协办公室</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存档（二）            </w:t>
      </w:r>
    </w:p>
    <w:p>
      <w:pPr>
        <w:spacing w:line="540" w:lineRule="exact"/>
        <w:rPr>
          <w:rFonts w:hint="eastAsia" w:ascii="仿宋" w:hAnsi="仿宋" w:eastAsia="仿宋" w:cs="仿宋"/>
          <w:sz w:val="32"/>
          <w:szCs w:val="32"/>
        </w:rPr>
      </w:pPr>
      <w:r>
        <w:rPr>
          <w:rFonts w:hint="eastAsia" w:ascii="仿宋" w:hAnsi="仿宋" w:eastAsia="仿宋" w:cs="仿宋"/>
          <w:sz w:val="32"/>
          <w:szCs w:val="32"/>
          <w:u w:val="single"/>
        </w:rPr>
        <w:t>临夏市农业机械管理局            2017年</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日印发   </w:t>
      </w:r>
    </w:p>
    <w:p>
      <w:pPr>
        <w:snapToGrid w:val="0"/>
        <w:spacing w:line="560" w:lineRule="exact"/>
        <w:ind w:firstLine="5120" w:firstLineChars="1600"/>
        <w:textAlignment w:val="baseline"/>
        <w:rPr>
          <w:rFonts w:hint="eastAsia" w:ascii="仿宋" w:hAnsi="仿宋" w:eastAsia="仿宋" w:cs="仿宋"/>
          <w:kern w:val="0"/>
          <w:sz w:val="32"/>
          <w:szCs w:val="32"/>
        </w:rPr>
      </w:pPr>
      <w:r>
        <w:rPr>
          <w:rFonts w:hint="eastAsia" w:ascii="仿宋" w:hAnsi="仿宋" w:eastAsia="仿宋" w:cs="仿宋"/>
          <w:kern w:val="0"/>
          <w:sz w:val="32"/>
          <w:szCs w:val="32"/>
        </w:rPr>
        <w:t xml:space="preserve">          共印</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份</w:t>
      </w:r>
    </w:p>
    <w:p>
      <w:pPr>
        <w:rPr>
          <w:rFonts w:hint="eastAsia"/>
        </w:rPr>
      </w:pPr>
    </w:p>
    <w:p>
      <w:pPr>
        <w:jc w:val="both"/>
        <w:rPr>
          <w:rFonts w:hint="eastAsia" w:ascii="黑体" w:hAnsi="黑体" w:eastAsia="黑体" w:cs="黑体"/>
          <w:sz w:val="44"/>
          <w:szCs w:val="44"/>
          <w:lang w:val="en-US" w:eastAsia="zh-CN"/>
        </w:rPr>
        <w:sectPr>
          <w:footerReference r:id="rId4" w:type="default"/>
          <w:pgSz w:w="11906" w:h="16838"/>
          <w:pgMar w:top="1440" w:right="1800" w:bottom="1440" w:left="1800" w:header="851" w:footer="992" w:gutter="0"/>
          <w:cols w:space="720" w:num="1"/>
          <w:docGrid w:type="lines" w:linePitch="312" w:charSpace="0"/>
        </w:sectPr>
      </w:pPr>
    </w:p>
    <w:p>
      <w:pPr>
        <w:jc w:val="both"/>
        <w:rPr>
          <w:rFonts w:hint="eastAsia" w:ascii="黑体" w:hAnsi="黑体" w:eastAsia="黑体" w:cs="黑体"/>
          <w:sz w:val="44"/>
          <w:szCs w:val="44"/>
          <w:lang w:val="en-US" w:eastAsia="zh-CN"/>
        </w:rPr>
      </w:pPr>
    </w:p>
    <w:p>
      <w:pPr>
        <w:jc w:val="center"/>
        <w:rPr>
          <w:rFonts w:hint="eastAsia" w:ascii="黑体" w:hAnsi="黑体" w:eastAsia="黑体" w:cs="黑体"/>
          <w:sz w:val="44"/>
          <w:szCs w:val="44"/>
        </w:rPr>
      </w:pPr>
      <w:r>
        <w:rPr>
          <w:rFonts w:hint="eastAsia" w:ascii="黑体" w:hAnsi="黑体" w:eastAsia="黑体" w:cs="黑体"/>
          <w:sz w:val="44"/>
          <w:szCs w:val="44"/>
        </w:rPr>
        <w:t>2017年临夏市“一乡一农机合作社”</w:t>
      </w:r>
    </w:p>
    <w:p>
      <w:pPr>
        <w:jc w:val="center"/>
        <w:rPr>
          <w:rFonts w:hint="eastAsia" w:ascii="黑体" w:hAnsi="黑体" w:eastAsia="黑体" w:cs="黑体"/>
          <w:sz w:val="44"/>
          <w:szCs w:val="44"/>
        </w:rPr>
      </w:pPr>
      <w:r>
        <w:rPr>
          <w:rFonts w:hint="eastAsia" w:ascii="黑体" w:hAnsi="黑体" w:eastAsia="黑体" w:cs="黑体"/>
          <w:sz w:val="44"/>
          <w:szCs w:val="44"/>
        </w:rPr>
        <w:t>建设实施方案</w:t>
      </w:r>
    </w:p>
    <w:p>
      <w:pPr>
        <w:jc w:val="center"/>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sz w:val="32"/>
          <w:szCs w:val="32"/>
        </w:rPr>
      </w:pPr>
      <w:r>
        <w:rPr>
          <w:rFonts w:hint="eastAsia"/>
          <w:sz w:val="32"/>
          <w:szCs w:val="32"/>
        </w:rPr>
        <w:t>为加快构建新型农机社会化服务体系，进一步提高全市乡镇农机合作社覆盖率，推进农机合作社规范化建设和服务能力提升，特制定本方案。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bCs/>
          <w:sz w:val="32"/>
          <w:szCs w:val="32"/>
        </w:rPr>
      </w:pPr>
      <w:r>
        <w:rPr>
          <w:rFonts w:hint="eastAsia"/>
          <w:b/>
          <w:bCs/>
          <w:sz w:val="32"/>
          <w:szCs w:val="32"/>
        </w:rPr>
        <w:t>一、总体思路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以构建覆盖全市</w:t>
      </w:r>
      <w:r>
        <w:rPr>
          <w:rFonts w:hint="eastAsia"/>
          <w:sz w:val="32"/>
          <w:szCs w:val="32"/>
          <w:lang w:eastAsia="zh-CN"/>
        </w:rPr>
        <w:t>各</w:t>
      </w:r>
      <w:r>
        <w:rPr>
          <w:rFonts w:hint="eastAsia"/>
          <w:sz w:val="32"/>
          <w:szCs w:val="32"/>
        </w:rPr>
        <w:t>镇农机合作社为目标，以农民为主体，市场为导向，因地制宜，科学布局，扩规模、提质量、促规范、增效益，不断强化政策扶持，建设和完善基础设施，优化装备结构，拓宽服务领域，健全管理制度，完善运行机制，破解“谁来种地、怎样种地”，推动全州农业机械化和农业现代化持续快速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bCs/>
          <w:sz w:val="32"/>
          <w:szCs w:val="32"/>
        </w:rPr>
      </w:pPr>
      <w:r>
        <w:rPr>
          <w:rFonts w:hint="eastAsia"/>
          <w:b/>
          <w:bCs/>
          <w:sz w:val="32"/>
          <w:szCs w:val="32"/>
        </w:rPr>
        <w:t>二、范围及目标任务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2017年计划在我市扶持建成有完善的基础设施、有良好的运行机制、有健全的财务管理制度、有较大的作业服务范围、有显著的综合效益的“五有”农机合作社４个，</w:t>
      </w:r>
      <w:r>
        <w:rPr>
          <w:rFonts w:hint="eastAsia"/>
          <w:sz w:val="32"/>
          <w:szCs w:val="32"/>
          <w:lang w:eastAsia="zh-CN"/>
        </w:rPr>
        <w:t>各</w:t>
      </w:r>
      <w:r>
        <w:rPr>
          <w:rFonts w:hint="eastAsia"/>
          <w:sz w:val="32"/>
          <w:szCs w:val="32"/>
        </w:rPr>
        <w:t>镇农机合作社覆盖率达到100%；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b/>
          <w:bCs/>
          <w:sz w:val="32"/>
          <w:szCs w:val="32"/>
        </w:rPr>
        <w:t>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（一）农机装备购置及扶持政策。重点对试点农机合作</w:t>
      </w:r>
      <w:bookmarkStart w:id="0" w:name="_GoBack"/>
      <w:bookmarkEnd w:id="0"/>
      <w:r>
        <w:rPr>
          <w:rFonts w:hint="eastAsia"/>
          <w:sz w:val="32"/>
          <w:szCs w:val="32"/>
        </w:rPr>
        <w:t>社购置30马力以上的农业机械及其配套机具、特色产业和富民产业机具给予累加补贴。农机合作社当年购置的农业机械，在中央财政补贴的基础上，单台机具给予不高于中央财政补贴的省级累加补贴，每个农机合作社省级购机累加补贴资金6万元。州级累加补贴比例调高到中央财政资金补贴的2/3予以补贴，每个试点合作社2万元的州级资金，在州补10个品目范围内予以累加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二）机具库棚建设及扶持政策。每农机合作社要求新建带办公（培训）室及维修间的标准化机具库棚200㎡以上，建设标准不低于400元/㎡。先建后补，经州、市农机等部门验收合格后，按照省级补贴2万元，待市级配套资金到位后，补贴2.5万元；对已有标准化机具库棚的合作社，不再对机具库棚进行补贴。机具库棚建设用地按照《甘肃省农业机械管理条例》和国土资源部、农业部的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三）农机手培训及扶持政策。每个试点农机合作社用于农机驾驶操作及维修人员培训省级资金不超过1万元，培训人员3人，由农机校负责理论培训，监理站进行考试，考试合格后发给每个学员相应资格证，取得相应资格证件的每人补贴2000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四）规范化和信息化建设及扶持政策。重点抓好以规范合作社建设场地布局、结构、标准及合作社牌匾标识等内容的基础设施规范化建设；以规范合作社章程、“三会”制度、财务制度、盈余分配制度、机务管理制度、安全生产制度、作业收费标准、合作社台账管理等内容的管理制度规范化建设；以建立合作社网站，推介服务项目、定期发布机具技术、市场信息、公布重大事项和日常运营情况等内容的信息化建设。每个农机合作社用于规范化和信息化建设省级资金1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第（三）项建设任务结余资金全部用于农机装备建设。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bCs/>
          <w:sz w:val="32"/>
          <w:szCs w:val="32"/>
        </w:rPr>
      </w:pPr>
      <w:r>
        <w:rPr>
          <w:rFonts w:hint="eastAsia"/>
          <w:b/>
          <w:bCs/>
          <w:sz w:val="32"/>
          <w:szCs w:val="32"/>
        </w:rPr>
        <w:t>四、申报条件及程序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（一）申报条件。申请扶持的农机合作社应当取得当地工商营业执照，有固定经营场所，必须具备一定农机作业服务能力（纯机具销售的农机合作社不能列为建设对象）。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（二）申报程序。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1.申报。合作社自愿填写《2017年临夏州“一乡一农机合作社”建设试点申报表》（附件2），经镇政府审核后，向市农机局申报。申报时需提交合作社营业执照、法人身份复印件、合作社固定场所及机具库棚外景图片等附件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2.审定。市农机局会同财政部门对农机合作社申报材料进行初审并公示，公示无异议的联合上报州农机局和财政局审定，确定“一乡一农机合作社”建设名单，报省农机局备查。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3.资金兑付。试点农机合作社机具库棚、人员培训及规范化建设补贴经州、市农机局验收通过后办理兑付手续；农机购置补贴由市农机局按照农机购置补贴程序办理中央补贴及省级累加补贴兑付手续。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b/>
          <w:bCs/>
          <w:sz w:val="32"/>
          <w:szCs w:val="32"/>
        </w:rPr>
      </w:pPr>
      <w:r>
        <w:rPr>
          <w:rFonts w:hint="eastAsia"/>
          <w:b/>
          <w:bCs/>
          <w:sz w:val="32"/>
          <w:szCs w:val="32"/>
        </w:rPr>
        <w:t>五、保障措施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（一）落实工作责任。要高度重视“一乡一农机合作社”建设试点工作，</w:t>
      </w:r>
      <w:r>
        <w:rPr>
          <w:rFonts w:hint="eastAsia"/>
          <w:sz w:val="32"/>
          <w:szCs w:val="32"/>
          <w:lang w:eastAsia="zh-CN"/>
        </w:rPr>
        <w:t>由市农机局</w:t>
      </w:r>
      <w:r>
        <w:rPr>
          <w:rFonts w:hint="eastAsia"/>
          <w:sz w:val="32"/>
          <w:szCs w:val="32"/>
        </w:rPr>
        <w:t>成立</w:t>
      </w:r>
      <w:r>
        <w:rPr>
          <w:rFonts w:hint="eastAsia"/>
          <w:sz w:val="32"/>
          <w:szCs w:val="32"/>
          <w:lang w:eastAsia="zh-CN"/>
        </w:rPr>
        <w:t>专门机构</w:t>
      </w:r>
      <w:r>
        <w:rPr>
          <w:rFonts w:hint="eastAsia"/>
          <w:sz w:val="32"/>
          <w:szCs w:val="32"/>
        </w:rPr>
        <w:t>，具体做好各项工作，确保试点工作的顺利实施和试点建设真正取得成效。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二）落实财政扶持措施。进一步加大资金整合力度,支持试点农机合作社开展基础设施及装备建设、规范化管理及人员培训等工作，国家农机购置补贴要优先满足合作社购机需求。省农机局对每个合作社安排10万元省级资金，州级财政给每个合作社配套2万元，市</w:t>
      </w:r>
      <w:r>
        <w:rPr>
          <w:rFonts w:hint="eastAsia"/>
          <w:sz w:val="32"/>
          <w:szCs w:val="32"/>
          <w:lang w:eastAsia="zh-CN"/>
        </w:rPr>
        <w:t>上</w:t>
      </w:r>
      <w:r>
        <w:rPr>
          <w:rFonts w:hint="eastAsia"/>
          <w:sz w:val="32"/>
          <w:szCs w:val="32"/>
        </w:rPr>
        <w:t>给每个合作社配套2.5万元。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三）强化典型示范和宣传引导。积极培育农机合作社示范典型，总结推广示范社在农机化生产、跨区作业、新技术新机具推广和土地流转等方面的好做法好经验，扩大示范效应。充分利用广播、电视、报纸、网络等各种媒体，通过制作宣传展板、固定宣传标语、举办演示观摩会等形式，大力宣传农机合作社在标准化种植、规模化经营、节本增效、助推精准脱贫等方面的典型经验，提高广大群众对农机合作社作用、效益的认知程度，努力营造浓厚的发展氛围。</w:t>
      </w:r>
    </w:p>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60B50"/>
    <w:rsid w:val="005C2988"/>
    <w:rsid w:val="014529C7"/>
    <w:rsid w:val="01C116A4"/>
    <w:rsid w:val="04246DE1"/>
    <w:rsid w:val="0D8912E2"/>
    <w:rsid w:val="168D24BB"/>
    <w:rsid w:val="1FE05177"/>
    <w:rsid w:val="21AA0F14"/>
    <w:rsid w:val="241232AC"/>
    <w:rsid w:val="2B520352"/>
    <w:rsid w:val="34BD08E1"/>
    <w:rsid w:val="355A3A99"/>
    <w:rsid w:val="397E6D14"/>
    <w:rsid w:val="3BCF450C"/>
    <w:rsid w:val="3E95076D"/>
    <w:rsid w:val="443F666E"/>
    <w:rsid w:val="53660B50"/>
    <w:rsid w:val="53A04F4D"/>
    <w:rsid w:val="54811232"/>
    <w:rsid w:val="6764782D"/>
    <w:rsid w:val="6818079C"/>
    <w:rsid w:val="76073F88"/>
    <w:rsid w:val="7A427694"/>
    <w:rsid w:val="7C9F32F7"/>
    <w:rsid w:val="7EF84516"/>
    <w:rsid w:val="7FA05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style1"/>
    <w:basedOn w:val="1"/>
    <w:qFormat/>
    <w:uiPriority w:val="0"/>
    <w:pPr>
      <w:widowControl/>
      <w:spacing w:before="100" w:beforeAutospacing="1" w:after="100" w:afterAutospacing="1"/>
      <w:jc w:val="left"/>
    </w:pPr>
    <w:rPr>
      <w:rFonts w:ascii="宋体" w:hAnsi="宋体" w:cs="宋体"/>
      <w:b/>
      <w:bCs/>
      <w:kern w:val="0"/>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2017-06-07T07:48:00Z</dcterms:created>
  <dc:creator>Administrator</dc:creator>
  <cp:lastModifiedBy>Administrator</cp:lastModifiedBy>
  <cp:lastPrinted>2017-06-07T08:37:05Z</cp:lastPrinted>
  <dcterms:modified xsi:type="dcterms:W3CDTF">2017-06-07T08:46:04Z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