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农机报废回收拆解制度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8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8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为加快拖拉机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及联合收割机等农业机械报废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更新步伐，根据《农业机械安全监督管理条例》等有关法律法规和农业部、财政部、商务部《20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农业机械报废更新补贴实施指导意见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《拖拉机禁用与报废标准》（GB/T16877-2008）和《联合收割机禁用和报废技术条件》（NY/T1875-2010）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精神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，结合本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实际情况，制定本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制度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依据《农业机械安全监督管理条例》规定，在农业农村部公布的危及人身财产安全的农业机械中，选择确定报废农机补贴种类为拖拉机、联合收割机、机动脱粒机、饲料（草）粉碎机、铡草机等农业机械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（具体补贴标准详见附表）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拖拉机、联合收割机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原则上为依法在农机监理机构登记的拖拉机、联合收割机。对无牌无证的拖拉机、联合收割机，能够确定其来历合法，产权明确，无财产归属等纠纷的，可作为报废补贴机具。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机动脱粒机、饲料（草）粉碎机、铡草机等农业机械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也要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确定其来历合法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2.报废机具必须具备以下条件：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小型拖拉机10年、大中型拖拉机15年，履带式拖拉机、自走式联合收割机12年，悬挂式联合收割机10年;未达到报废年限，但安全隐患大、故障发生率高、技术状况差的；农机损毁严重、维修成本高、无法修复或无配件来源的；国家明令淘汰的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交售的报废拖拉机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、联合收割机、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机动脱粒机、饲料（草）粉碎机、铡草机等农业机械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必须是整机，回收单位应按照公平交易原则，共同协商确定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，计算残值给予兑付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收单位要严格按照规定接收、拆解报废拖拉机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及联合收割机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。拆下的发动机及变速器总成，必须作废钢处理。禁止出售整体报废拖拉机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、联合收割机、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机动脱粒机、饲料（草）粉碎机、铡草机等农业机械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，严禁拼装整机转卖。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机主将报废的旧机交售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定点回收公司，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回收企业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核对机主信息和报废农机信息，对符合报废条件要求的，现场采集报废农机与机主的人机合影照片，向机主出具经签字盖章的《甘肃省报废农业机械回收确认表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回收的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农业机械在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农业农村局农机监理机构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监督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进行解体或者销毁，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并当场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采集报废机具与机主人机合影电子照片，作为档案资料。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机主凭有效的《确认表》及身份证明，到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县农业农村局农机监理机构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申请农机报废补贴。按当年甘肃省农机购置补贴政策规定办理补贴手续，经审核、公示无异议后，由财政部门向符合要求的机主兑现补贴资金。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瓜州县农业农村局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160" w:firstLineChars="1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2020年5月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DB"/>
    <w:rsid w:val="000349DB"/>
    <w:rsid w:val="00146A3B"/>
    <w:rsid w:val="03934B62"/>
    <w:rsid w:val="09EC095D"/>
    <w:rsid w:val="10D8077C"/>
    <w:rsid w:val="198F4452"/>
    <w:rsid w:val="30C7594C"/>
    <w:rsid w:val="34455BCC"/>
    <w:rsid w:val="457D2ECF"/>
    <w:rsid w:val="615C2BA4"/>
    <w:rsid w:val="68070AA2"/>
    <w:rsid w:val="798E4245"/>
    <w:rsid w:val="7D85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386</Characters>
  <Lines>3</Lines>
  <Paragraphs>1</Paragraphs>
  <TotalTime>3</TotalTime>
  <ScaleCrop>false</ScaleCrop>
  <LinksUpToDate>false</LinksUpToDate>
  <CharactersWithSpaces>452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2019-06-13T01:55:00Z</dcterms:created>
  <dc:creator>Administrator</dc:creator>
  <cp:lastModifiedBy>6688</cp:lastModifiedBy>
  <dcterms:modified xsi:type="dcterms:W3CDTF">2020-05-15T10:22:22Z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