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line="640" w:lineRule="exact"/>
        <w:jc w:val="center"/>
        <w:rPr>
          <w:rFonts w:hint="eastAsia" w:ascii="仿宋" w:hAnsi="仿宋" w:eastAsia="仿宋" w:cs="仿宋"/>
          <w:b/>
          <w:bCs w:val="0"/>
          <w:color w:val="000000"/>
          <w:sz w:val="36"/>
          <w:szCs w:val="36"/>
        </w:rPr>
      </w:pPr>
      <w:r>
        <w:rPr>
          <w:rFonts w:hint="eastAsia" w:ascii="仿宋" w:hAnsi="仿宋" w:eastAsia="仿宋" w:cs="仿宋"/>
          <w:b/>
          <w:bCs w:val="0"/>
          <w:color w:val="000000"/>
          <w:sz w:val="36"/>
          <w:szCs w:val="36"/>
          <w:lang w:eastAsia="zh-CN"/>
        </w:rPr>
        <w:t>岷县</w:t>
      </w:r>
      <w:r>
        <w:rPr>
          <w:rFonts w:hint="eastAsia" w:ascii="仿宋" w:hAnsi="仿宋" w:eastAsia="仿宋" w:cs="仿宋"/>
          <w:b/>
          <w:bCs w:val="0"/>
          <w:color w:val="000000"/>
          <w:sz w:val="36"/>
          <w:szCs w:val="36"/>
        </w:rPr>
        <w:t>农机购置补贴机具核验规程</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为保障农机购置补贴资金安全、强化农机购置补贴监督管理，根据国家农机购置补贴政策和工作要求，结合我</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补贴政策实施实际，制定本规程。</w:t>
      </w:r>
    </w:p>
    <w:p>
      <w:pPr>
        <w:keepNext w:val="0"/>
        <w:keepLines w:val="0"/>
        <w:pageBreakBefore w:val="0"/>
        <w:widowControl w:val="0"/>
        <w:tabs>
          <w:tab w:val="left" w:pos="6930"/>
        </w:tabs>
        <w:kinsoku/>
        <w:wordWrap/>
        <w:overflowPunct/>
        <w:topLinePunct w:val="0"/>
        <w:autoSpaceDE/>
        <w:autoSpaceDN/>
        <w:bidi w:val="0"/>
        <w:adjustRightInd w:val="0"/>
        <w:snapToGrid w:val="0"/>
        <w:spacing w:line="560" w:lineRule="exact"/>
        <w:ind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第一条  农机购置补贴机具核验责任主体是县</w:t>
      </w:r>
      <w:r>
        <w:rPr>
          <w:rFonts w:hint="eastAsia" w:ascii="仿宋" w:hAnsi="仿宋" w:eastAsia="仿宋" w:cs="仿宋"/>
          <w:color w:val="000000"/>
          <w:sz w:val="32"/>
          <w:szCs w:val="32"/>
          <w:lang w:eastAsia="zh-CN"/>
        </w:rPr>
        <w:t>农业机械中心</w:t>
      </w:r>
      <w:r>
        <w:rPr>
          <w:rFonts w:hint="eastAsia" w:ascii="仿宋" w:hAnsi="仿宋" w:eastAsia="仿宋" w:cs="仿宋"/>
          <w:color w:val="000000"/>
          <w:sz w:val="32"/>
          <w:szCs w:val="32"/>
        </w:rPr>
        <w:t>，县级领导小组成员单位按职责分工参与抽查。</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第二条  核验对象为年度内申请农机购置补贴的农业机械。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第三条  核验方式为资料形式审查和机具现场核验。资料形式审查是指县</w:t>
      </w:r>
      <w:r>
        <w:rPr>
          <w:rFonts w:hint="eastAsia" w:ascii="仿宋" w:hAnsi="仿宋" w:eastAsia="仿宋" w:cs="仿宋"/>
          <w:color w:val="000000"/>
          <w:sz w:val="32"/>
          <w:szCs w:val="32"/>
          <w:lang w:eastAsia="zh-CN"/>
        </w:rPr>
        <w:t>农业机械中心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财政</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按职责分工对购机者提供的补贴申请资料的合规性进行形式审查。机具现场核验是指县</w:t>
      </w:r>
      <w:r>
        <w:rPr>
          <w:rFonts w:hint="eastAsia" w:ascii="仿宋" w:hAnsi="仿宋" w:eastAsia="仿宋" w:cs="仿宋"/>
          <w:color w:val="000000"/>
          <w:sz w:val="32"/>
          <w:szCs w:val="32"/>
          <w:lang w:eastAsia="zh-CN"/>
        </w:rPr>
        <w:t>农业机械中心</w:t>
      </w:r>
      <w:r>
        <w:rPr>
          <w:rFonts w:hint="eastAsia" w:ascii="仿宋" w:hAnsi="仿宋" w:eastAsia="仿宋" w:cs="仿宋"/>
          <w:color w:val="000000"/>
          <w:sz w:val="32"/>
          <w:szCs w:val="32"/>
        </w:rPr>
        <w:t>对补贴机具的真实性进行核查。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第四条  核验内容为购机者身份的真实性、购机者申请资料的合规性、补贴机具的真实性、购机行为的真实性等。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第五条  机具核验：</w:t>
      </w: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1.重点机具核验</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重点机具包括：自走式收获机械、拖拉机等纳入牌证管理的农业机械、补贴额在3000元（含）以上的非牌证管理机具、安装类、设施类及成套设施设备。对重点机具须在补贴资金结算前逐台进行核验。</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对牌证管理机具凭牌证免于现场实物核验，重点核验3项内容，包括：一是购机者携带的《拖拉机和联合收割机行驶证》信息与安全监理系统推送到补贴办理服务系统</w:t>
      </w:r>
      <w:r>
        <w:rPr>
          <w:rFonts w:hint="eastAsia" w:ascii="仿宋" w:hAnsi="仿宋" w:eastAsia="仿宋" w:cs="仿宋"/>
          <w:b/>
          <w:bCs/>
          <w:color w:val="000000"/>
          <w:sz w:val="32"/>
          <w:szCs w:val="32"/>
        </w:rPr>
        <w:t>牌证信息</w:t>
      </w:r>
      <w:r>
        <w:rPr>
          <w:rFonts w:hint="eastAsia" w:ascii="仿宋" w:hAnsi="仿宋" w:eastAsia="仿宋" w:cs="仿宋"/>
          <w:color w:val="000000"/>
          <w:sz w:val="32"/>
          <w:szCs w:val="32"/>
        </w:rPr>
        <w:t>是否一致；二是购机者携带的《拖拉机和联合收割机行驶证》信息与安全监理系统推送到补贴办理服务系统</w:t>
      </w:r>
      <w:r>
        <w:rPr>
          <w:rFonts w:hint="eastAsia" w:ascii="仿宋" w:hAnsi="仿宋" w:eastAsia="仿宋" w:cs="仿宋"/>
          <w:b/>
          <w:bCs/>
          <w:color w:val="000000"/>
          <w:sz w:val="32"/>
          <w:szCs w:val="32"/>
        </w:rPr>
        <w:t>机具信息</w:t>
      </w:r>
      <w:r>
        <w:rPr>
          <w:rFonts w:hint="eastAsia" w:ascii="仿宋" w:hAnsi="仿宋" w:eastAsia="仿宋" w:cs="仿宋"/>
          <w:color w:val="000000"/>
          <w:sz w:val="32"/>
          <w:szCs w:val="32"/>
        </w:rPr>
        <w:t>是否一致；三是购机税控发票所显示经销企业信息与补贴办理服务系统内对应的经销信息是否一致。</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非牌证管理的重点机具重点核验8项内容，包括：一是税控发票所显示的机具名称与所购实物机具铭牌显示信息是否一致；二是税控发票所显示的生产企业与所购实物机具铭牌显示信息是否一致；三是税控发票所显示的型号与所购实物机具铭牌显示信息是否一致；四是税控发票所显示的发动机号（不带动力的可不核验）与所购实物机具铭牌显示信息是否一致；五是税控发票所显示的出厂编号与所购实物机具铭牌显示信息是否一致；六是所购实物机具铭牌显示信息与补贴办理服务系统内对应的机具信息是否一致；七是购机税控发票所显示的经销企业与补贴办理服务系统内对应的经销信息是否一致；八是是否按时提供机具。</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2.非重点机具核验</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除重点机具外，其它补贴机具为非重点机具，结合</w:t>
      </w:r>
      <w:r>
        <w:rPr>
          <w:rFonts w:hint="eastAsia" w:ascii="仿宋" w:hAnsi="仿宋" w:eastAsia="仿宋" w:cs="仿宋"/>
          <w:color w:val="000000"/>
          <w:sz w:val="32"/>
          <w:szCs w:val="32"/>
          <w:lang w:eastAsia="zh-CN"/>
        </w:rPr>
        <w:t>我县</w:t>
      </w:r>
      <w:r>
        <w:rPr>
          <w:rFonts w:hint="eastAsia" w:ascii="仿宋" w:hAnsi="仿宋" w:eastAsia="仿宋" w:cs="仿宋"/>
          <w:color w:val="000000"/>
          <w:sz w:val="32"/>
          <w:szCs w:val="32"/>
        </w:rPr>
        <w:t>实际，确定抽查核查比例</w:t>
      </w:r>
      <w:r>
        <w:rPr>
          <w:rFonts w:hint="eastAsia" w:ascii="仿宋" w:hAnsi="仿宋" w:eastAsia="仿宋" w:cs="仿宋"/>
          <w:color w:val="000000"/>
          <w:sz w:val="32"/>
          <w:szCs w:val="32"/>
          <w:lang w:eastAsia="zh-CN"/>
        </w:rPr>
        <w:t>在</w:t>
      </w:r>
      <w:r>
        <w:rPr>
          <w:rFonts w:hint="eastAsia" w:ascii="仿宋" w:hAnsi="仿宋" w:eastAsia="仿宋" w:cs="仿宋"/>
          <w:color w:val="000000"/>
          <w:sz w:val="32"/>
          <w:szCs w:val="32"/>
          <w:lang w:val="en-US" w:eastAsia="zh-CN"/>
        </w:rPr>
        <w:t>80%以上</w:t>
      </w:r>
      <w:r>
        <w:rPr>
          <w:rFonts w:hint="eastAsia" w:ascii="仿宋" w:hAnsi="仿宋" w:eastAsia="仿宋" w:cs="仿宋"/>
          <w:color w:val="000000"/>
          <w:sz w:val="32"/>
          <w:szCs w:val="32"/>
        </w:rPr>
        <w:t>，在补贴资金结算</w:t>
      </w:r>
      <w:r>
        <w:rPr>
          <w:rFonts w:hint="eastAsia" w:ascii="仿宋" w:hAnsi="仿宋" w:eastAsia="仿宋" w:cs="仿宋"/>
          <w:color w:val="000000"/>
          <w:sz w:val="32"/>
          <w:szCs w:val="32"/>
          <w:lang w:eastAsia="zh-CN"/>
        </w:rPr>
        <w:t>前</w:t>
      </w:r>
      <w:r>
        <w:rPr>
          <w:rFonts w:hint="eastAsia" w:ascii="仿宋" w:hAnsi="仿宋" w:eastAsia="仿宋" w:cs="仿宋"/>
          <w:color w:val="000000"/>
          <w:sz w:val="32"/>
          <w:szCs w:val="32"/>
        </w:rPr>
        <w:t>进行核验，核验内容等同重点机具。</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第六条  核验流程：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 w:hAnsi="仿宋" w:eastAsia="仿宋" w:cs="仿宋"/>
          <w:sz w:val="32"/>
          <w:szCs w:val="32"/>
        </w:rPr>
      </w:pPr>
      <w:r>
        <w:rPr>
          <w:rFonts w:hint="eastAsia" w:ascii="仿宋" w:hAnsi="仿宋" w:eastAsia="仿宋" w:cs="仿宋"/>
          <w:color w:val="000000"/>
          <w:sz w:val="32"/>
          <w:szCs w:val="32"/>
        </w:rPr>
        <w:t>资料形式审查，对购机者二代身份证（购机者为组织的，需营业执照）、购机发票、“一卡通”卡号或银行账户进行形式审查，信息一致。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机具现场核验，将补贴机具铭牌信息、整机出厂编号和发动机号（不配备发动机的不需要）与办理服务系统信息进行比对核验。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第七条  其他要求：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现场核验人员应不少于2人，核验人员需对核验内容进行详细记录，购机者对核验结果签字。</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现场核验需对购机者、补贴机具进行“人机合照”拍照存档。</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核验发现机具信息有疑问的，可要求产销企业提供书面说明。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购机者不配合开展现场核验机具的，不予兑付补贴资金。</w:t>
      </w:r>
    </w:p>
    <w:p>
      <w:pPr>
        <w:rPr>
          <w:rFonts w:hint="eastAsia"/>
        </w:rPr>
      </w:pPr>
    </w:p>
    <w:p>
      <w:pPr>
        <w:rPr>
          <w:rFonts w:hint="eastAsia"/>
        </w:rPr>
      </w:pPr>
    </w:p>
    <w:p>
      <w:pPr>
        <w:rPr>
          <w:rFonts w:hint="eastAsia"/>
        </w:rPr>
      </w:pPr>
    </w:p>
    <w:p>
      <w:pPr>
        <w:pStyle w:val="6"/>
        <w:widowControl w:val="0"/>
        <w:snapToGrid w:val="0"/>
        <w:spacing w:before="0" w:beforeAutospacing="0" w:after="0" w:afterAutospacing="0" w:line="360" w:lineRule="auto"/>
        <w:jc w:val="both"/>
        <w:rPr>
          <w:rFonts w:hint="eastAsia" w:ascii="黑体" w:hAnsi="黑体" w:eastAsia="黑体" w:cs="黑体"/>
          <w:color w:val="000000"/>
          <w:sz w:val="28"/>
          <w:szCs w:val="28"/>
          <w:lang w:bidi="ar"/>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0" w:usb1="00000000" w:usb2="00000000" w:usb3="00000000" w:csb0="00000000" w:csb1="00000000"/>
  </w:font>
  <w:font w:name="方正小标宋_GBK">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 w:hAnsi="仿宋" w:eastAsia="仿宋" w:cs="仿宋_GB2312"/>
                              <w:sz w:val="28"/>
                              <w:szCs w:val="28"/>
                            </w:rPr>
                          </w:pPr>
                          <w:r>
                            <w:rPr>
                              <w:rFonts w:hint="eastAsia" w:ascii="仿宋" w:hAnsi="仿宋" w:eastAsia="仿宋" w:cs="仿宋_GB2312"/>
                              <w:sz w:val="28"/>
                              <w:szCs w:val="28"/>
                            </w:rPr>
                            <w:fldChar w:fldCharType="begin"/>
                          </w:r>
                          <w:r>
                            <w:rPr>
                              <w:rFonts w:hint="eastAsia" w:ascii="仿宋" w:hAnsi="仿宋" w:eastAsia="仿宋" w:cs="仿宋_GB2312"/>
                              <w:sz w:val="28"/>
                              <w:szCs w:val="28"/>
                            </w:rPr>
                            <w:instrText xml:space="preserve"> PAGE  \* MERGEFORMAT </w:instrText>
                          </w:r>
                          <w:r>
                            <w:rPr>
                              <w:rFonts w:hint="eastAsia" w:ascii="仿宋" w:hAnsi="仿宋" w:eastAsia="仿宋" w:cs="仿宋_GB2312"/>
                              <w:sz w:val="28"/>
                              <w:szCs w:val="28"/>
                            </w:rPr>
                            <w:fldChar w:fldCharType="separate"/>
                          </w:r>
                          <w:r>
                            <w:rPr>
                              <w:rFonts w:ascii="仿宋" w:hAnsi="仿宋" w:eastAsia="仿宋" w:cs="仿宋_GB2312"/>
                              <w:sz w:val="28"/>
                              <w:szCs w:val="28"/>
                            </w:rPr>
                            <w:t>- 1 -</w:t>
                          </w:r>
                          <w:r>
                            <w:rPr>
                              <w:rFonts w:hint="eastAsia" w:ascii="仿宋" w:hAnsi="仿宋" w:eastAsia="仿宋"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ascii="仿宋" w:hAnsi="仿宋" w:eastAsia="仿宋" w:cs="仿宋_GB2312"/>
                        <w:sz w:val="28"/>
                        <w:szCs w:val="28"/>
                      </w:rPr>
                    </w:pPr>
                    <w:r>
                      <w:rPr>
                        <w:rFonts w:hint="eastAsia" w:ascii="仿宋" w:hAnsi="仿宋" w:eastAsia="仿宋" w:cs="仿宋_GB2312"/>
                        <w:sz w:val="28"/>
                        <w:szCs w:val="28"/>
                      </w:rPr>
                      <w:fldChar w:fldCharType="begin"/>
                    </w:r>
                    <w:r>
                      <w:rPr>
                        <w:rFonts w:hint="eastAsia" w:ascii="仿宋" w:hAnsi="仿宋" w:eastAsia="仿宋" w:cs="仿宋_GB2312"/>
                        <w:sz w:val="28"/>
                        <w:szCs w:val="28"/>
                      </w:rPr>
                      <w:instrText xml:space="preserve"> PAGE  \* MERGEFORMAT </w:instrText>
                    </w:r>
                    <w:r>
                      <w:rPr>
                        <w:rFonts w:hint="eastAsia" w:ascii="仿宋" w:hAnsi="仿宋" w:eastAsia="仿宋" w:cs="仿宋_GB2312"/>
                        <w:sz w:val="28"/>
                        <w:szCs w:val="28"/>
                      </w:rPr>
                      <w:fldChar w:fldCharType="separate"/>
                    </w:r>
                    <w:r>
                      <w:rPr>
                        <w:rFonts w:ascii="仿宋" w:hAnsi="仿宋" w:eastAsia="仿宋" w:cs="仿宋_GB2312"/>
                        <w:sz w:val="28"/>
                        <w:szCs w:val="28"/>
                      </w:rPr>
                      <w:t>- 1 -</w:t>
                    </w:r>
                    <w:r>
                      <w:rPr>
                        <w:rFonts w:hint="eastAsia" w:ascii="仿宋" w:hAnsi="仿宋" w:eastAsia="仿宋" w:cs="仿宋_GB2312"/>
                        <w:sz w:val="28"/>
                        <w:szCs w:val="28"/>
                      </w:rP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44B70"/>
    <w:rsid w:val="78744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heading"/>
    <w:basedOn w:val="1"/>
    <w:next w:val="3"/>
    <w:qFormat/>
    <w:uiPriority w:val="0"/>
    <w:rPr>
      <w:rFonts w:ascii="Arial" w:hAnsi="Arial" w:cs="Arial"/>
      <w:b/>
      <w:bCs/>
    </w:rPr>
  </w:style>
  <w:style w:type="paragraph" w:styleId="3">
    <w:name w:val="index 1"/>
    <w:basedOn w:val="1"/>
    <w:next w:val="1"/>
    <w:qFormat/>
    <w:uiPriority w:val="0"/>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uiPriority w:val="0"/>
  </w:style>
  <w:style w:type="paragraph" w:customStyle="1" w:styleId="10">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2021-12-06T08:26:00Z</dcterms:created>
  <dc:creator>86139</dc:creator>
  <cp:lastModifiedBy>86139</cp:lastModifiedBy>
  <dcterms:modified xsi:type="dcterms:W3CDTF">2021-12-06T08:27:40Z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