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5F" w:rsidRDefault="003477E2">
      <w:pPr>
        <w:pStyle w:val="a3"/>
        <w:widowControl/>
        <w:shd w:val="clear" w:color="auto" w:fill="FFFFFF"/>
        <w:spacing w:beforeAutospacing="0" w:afterAutospacing="0"/>
        <w:ind w:firstLine="645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榆中县农机购置补贴异常情形报告制度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第一条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为及时处理政策实施过程中发生的异常情形，严厉打击农机购置补贴工作中的违规行为，规范、高效、廉洁实施农机购置补贴政策，确保国家强农惠农富农资金的安全，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根据农业农村部、财政部、甘肃省农业农村厅等对农机购置补贴政策实施有关文件要求，结合我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县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实际制定本制度。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第二条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本制度所指异常情形，是指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县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农业农村部门在实施农机购置补贴政策过程中，发现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农机购置补贴机具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存在违反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甘肃省农机购置补贴政策规定的异常情形，需要向上级农机管理部门报告的制度规定。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第三条</w:t>
      </w: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异常情形主要包括以下内容：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（一）购机发票显示购机者与实际购机者不一致的。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（二）购机发票金额与实际销售价格不一致的。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（三）补贴机具有严重质量问题的。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（四）铭牌信息与实物不一致的。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（五）同类型补贴机具短期内大批量出现的。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（六）个人购置多台套及以上同类型机具的。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（七）其他可能影响补贴政策规范实施的异常情形。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第四条</w:t>
      </w: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发现农机购置补贴异常情形后，应按照以下要求启动报告制度。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lastRenderedPageBreak/>
        <w:t>（一）农机购置补贴实施机构发现或接到异常情形线索报告后，由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县</w:t>
      </w:r>
      <w:bookmarkStart w:id="0" w:name="_GoBack"/>
      <w:bookmarkEnd w:id="0"/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农业农村部门组织调查核实，报市农业农村部门备案，市级将采取相应措施处理。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（二）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县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农业农村部门对异常情形调查核实后，如涉及违规行为，应按相应的管理权限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上报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省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农机购置补贴办公室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第五条</w:t>
      </w: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县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级农业农村部门要重视异常情形报告工作，增强处置异常情形的能力，强化廉政风险防控教育和业务知识培训，发现异常情形要及时请示报告。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第六条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本制度由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榆中县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农业农村局负责解释。</w:t>
      </w:r>
    </w:p>
    <w:p w:rsidR="0091025F" w:rsidRDefault="003477E2">
      <w:pPr>
        <w:pStyle w:val="a3"/>
        <w:widowControl/>
        <w:shd w:val="clear" w:color="auto" w:fill="FFFFFF"/>
        <w:spacing w:beforeAutospacing="0" w:afterAutospacing="0" w:line="560" w:lineRule="exact"/>
        <w:ind w:firstLine="646"/>
        <w:jc w:val="both"/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第七条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本制度自发布之日起施行。</w:t>
      </w:r>
    </w:p>
    <w:p w:rsidR="0091025F" w:rsidRDefault="0091025F">
      <w:pPr>
        <w:spacing w:line="560" w:lineRule="exact"/>
      </w:pPr>
    </w:p>
    <w:sectPr w:rsidR="0091025F" w:rsidSect="0091025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1025F"/>
    <w:rsid w:val="003477E2"/>
    <w:rsid w:val="0091025F"/>
    <w:rsid w:val="062C60EF"/>
    <w:rsid w:val="5795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2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25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2022-02-17T09:33:00Z</dcterms:created>
  <dcterms:modified xsi:type="dcterms:W3CDTF">2022-02-17T09:47:00Z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46F64466259C44A69D26DA1045B02B92</vt:lpwstr>
  </property>
</Properties>
</file>