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lang w:eastAsia="zh-CN"/>
        </w:rPr>
        <w:t>靖远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  <w:lang w:eastAsia="zh-CN"/>
        </w:rPr>
        <w:t>县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4"/>
          <w:szCs w:val="34"/>
        </w:rPr>
        <w:t>农机购置补贴异常情况报告制度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第一条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为及时处置农机购置补贴政策实施过程中的异常情况，有效防范风险，保障补贴资金安全，根据农机购置补贴政策实施有关文件要求，结合我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实际，制定本制度。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第二条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本制度所指异常情况，是指在实施农机购置补贴政策过程中，发现在补贴机具申请、机具核验和违规处理等关键环节实施过程中发生或发现的异常情形。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第三条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农机购置补贴机具申请、机具核验和违规处理等异常情况，主要包括以下内容：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40" w:leftChars="0" w:right="0" w:rightChars="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企业在农机购置补贴辅助管理系统中上传不实信息。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63"/>
        </w:tabs>
        <w:spacing w:before="0" w:beforeAutospacing="0" w:after="0" w:afterAutospacing="0"/>
        <w:ind w:right="0" w:rightChars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2.购机发票金额与实际销售价格不一致。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63"/>
        </w:tabs>
        <w:spacing w:before="0" w:beforeAutospacing="0" w:after="0" w:afterAutospacing="0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3.补贴产品补贴比例明显偏高。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51"/>
        </w:tabs>
        <w:spacing w:before="0" w:beforeAutospacing="0" w:after="0" w:afterAutospacing="0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4.参与补贴政策实施的农机生产企业未落实承诺制。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5.在机具核验时，发现补贴机具型号、出厂编号、发动机号等信息与实物及补贴系统内登记信息不一致。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6.购机发票显示购机者与实际购机者不一致的。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7.发现补贴机具存在质量问题或重大安全隐患。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8.单人多台套、短期内大批量、同人连年购置同类机具。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9.违反农机产品“三包”规定，不积极处理或引起投诉。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10.其他可能影响补贴政策规范实施的异常情况。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第四条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异常情况的调查与处理。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（一）县农机购置补贴实施机构发现或接到异常情况线索报告后，由县级农业农村部门及时组织调查核实，报市级农业农村部门备案，市级将采取相应措施处理。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（二）县级农业农村部门对异常情况调查核实后，如涉及违规行为，应按相应的管理权限，依照《农业机械购置补贴产品违规经营行为处理办法（试行）》等相关规定处理。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（三）如涉及到全局性、系统性风险问题，县级农业农村部门应先向省厅书面申请采取暂停补贴等措施。省厅将结合实际向部农机化司报告异常情况。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第五条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农业农村局负责组织对全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农机购置补贴异常情况报告工作的实施和监管。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第六条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县级农业农村部门要重视异常情况报告工作，增强处置异常情况的能力，强化廉政风险防控教育和业务知识培训，发现异常情况要及时请示报告。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第七条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县级农业农村部门要结合辖区实际，细化制定本地区农机购置补贴异常情况报告制度，并抄送市级农业农村部门。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sz w:val="32"/>
          <w:szCs w:val="32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第八条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本制度由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县农业农村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37FC"/>
    <w:rsid w:val="1360267F"/>
    <w:rsid w:val="3CA620AA"/>
    <w:rsid w:val="4C94570E"/>
    <w:rsid w:val="6BDC51E1"/>
    <w:rsid w:val="6DC037FC"/>
    <w:rsid w:val="760C6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2022-02-18T02:05:00Z</dcterms:created>
  <dc:creator>Administrator</dc:creator>
  <cp:lastModifiedBy>粗线条姑娘〰〰</cp:lastModifiedBy>
  <dcterms:modified xsi:type="dcterms:W3CDTF">2022-02-21T07:50:10Z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5385F1A3524F49DEA3F8B9957BC90FE7</vt:lpwstr>
  </property>
</Properties>
</file>