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08"/>
        <w:jc w:val="center"/>
        <w:textAlignment w:val="baseline"/>
        <w:rPr>
          <w:rFonts w:hint="eastAsia" w:asciiTheme="minorEastAsia" w:hAnsiTheme="minorEastAsia" w:eastAsiaTheme="minorEastAsia" w:cstheme="minorEastAsia"/>
          <w:i w:val="0"/>
          <w:caps w:val="0"/>
          <w:color w:val="333333"/>
          <w:spacing w:val="0"/>
          <w:sz w:val="36"/>
          <w:szCs w:val="36"/>
        </w:rPr>
      </w:pPr>
      <w:r>
        <w:rPr>
          <w:rStyle w:val="5"/>
          <w:rFonts w:hint="eastAsia" w:asciiTheme="minorEastAsia" w:hAnsiTheme="minorEastAsia" w:eastAsiaTheme="minorEastAsia" w:cstheme="minorEastAsia"/>
          <w:b/>
          <w:bCs w:val="0"/>
          <w:i w:val="0"/>
          <w:caps w:val="0"/>
          <w:color w:val="333333"/>
          <w:spacing w:val="0"/>
          <w:sz w:val="36"/>
          <w:szCs w:val="36"/>
          <w:shd w:val="clear" w:fill="FFFFFF"/>
          <w:vertAlign w:val="baseline"/>
        </w:rPr>
        <w:t>秦州区202</w:t>
      </w:r>
      <w:r>
        <w:rPr>
          <w:rStyle w:val="5"/>
          <w:rFonts w:hint="eastAsia" w:asciiTheme="minorEastAsia" w:hAnsiTheme="minorEastAsia" w:cstheme="minorEastAsia"/>
          <w:b/>
          <w:bCs w:val="0"/>
          <w:i w:val="0"/>
          <w:caps w:val="0"/>
          <w:color w:val="333333"/>
          <w:spacing w:val="0"/>
          <w:sz w:val="36"/>
          <w:szCs w:val="36"/>
          <w:shd w:val="clear" w:fill="FFFFFF"/>
          <w:vertAlign w:val="baseline"/>
          <w:lang w:val="en-US" w:eastAsia="zh-CN"/>
        </w:rPr>
        <w:t>2</w:t>
      </w:r>
      <w:r>
        <w:rPr>
          <w:rStyle w:val="5"/>
          <w:rFonts w:hint="eastAsia" w:asciiTheme="minorEastAsia" w:hAnsiTheme="minorEastAsia" w:eastAsiaTheme="minorEastAsia" w:cstheme="minorEastAsia"/>
          <w:b/>
          <w:bCs w:val="0"/>
          <w:i w:val="0"/>
          <w:caps w:val="0"/>
          <w:color w:val="333333"/>
          <w:spacing w:val="0"/>
          <w:sz w:val="36"/>
          <w:szCs w:val="36"/>
          <w:shd w:val="clear" w:fill="FFFFFF"/>
          <w:vertAlign w:val="baseline"/>
        </w:rPr>
        <w:t>年农机购置补贴实施情况公</w:t>
      </w:r>
      <w:r>
        <w:rPr>
          <w:rStyle w:val="5"/>
          <w:rFonts w:hint="eastAsia" w:asciiTheme="minorEastAsia" w:hAnsiTheme="minorEastAsia" w:eastAsiaTheme="minorEastAsia" w:cstheme="minorEastAsia"/>
          <w:i w:val="0"/>
          <w:caps w:val="0"/>
          <w:color w:val="333333"/>
          <w:spacing w:val="0"/>
          <w:sz w:val="36"/>
          <w:szCs w:val="36"/>
          <w:shd w:val="clear" w:fill="FFFFFF"/>
          <w:vertAlign w:val="baseline"/>
        </w:rPr>
        <w:t>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在省、市农机部门的大力支持和指导下，在区委、区政府的领导下，我区农机购置补贴工作严格贯彻执行上级有关文件规定，切实加强组织领导，合理安排部署，强化工作措施，落实工作责任，始终遵循公开、公正、公平的原则，保障了农民的切身利益。进一步提升了我区农业机械装备水平，增强了农业综合生产能力，取得了较好的社会效益、经济效益。现将全年农机购置补贴工作的有关情况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2022年下达农机购置补贴中央补贴资金120万元,兑付补贴资金119.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96</w:t>
      </w:r>
      <w:r>
        <w:rPr>
          <w:rFonts w:hint="eastAsia" w:ascii="仿宋_GB2312" w:hAnsi="仿宋_GB2312" w:eastAsia="仿宋_GB2312" w:cs="仿宋_GB2312"/>
          <w:color w:val="000000" w:themeColor="text1"/>
          <w:sz w:val="32"/>
          <w:szCs w:val="32"/>
          <w14:textFill>
            <w14:solidFill>
              <w14:schemeClr w14:val="tx1"/>
            </w14:solidFill>
          </w14:textFill>
        </w:rPr>
        <w:t>万元，受益户数6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74</w:t>
      </w:r>
      <w:r>
        <w:rPr>
          <w:rFonts w:hint="eastAsia" w:ascii="仿宋_GB2312" w:hAnsi="仿宋_GB2312" w:eastAsia="仿宋_GB2312" w:cs="仿宋_GB2312"/>
          <w:color w:val="000000" w:themeColor="text1"/>
          <w:sz w:val="32"/>
          <w:szCs w:val="32"/>
          <w14:textFill>
            <w14:solidFill>
              <w14:schemeClr w14:val="tx1"/>
            </w14:solidFill>
          </w14:textFill>
        </w:rPr>
        <w:t>户，补贴机具7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4台（套）。近几年购机者多，好多购机者未能申请到补贴资金，因此我站特向省厅打报告继续申请农机购置补贴资金，截止目前，预录2023年补贴资金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212.73</w:t>
      </w:r>
      <w:r>
        <w:rPr>
          <w:rFonts w:hint="eastAsia" w:ascii="仿宋_GB2312" w:hAnsi="仿宋_GB2312" w:eastAsia="仿宋_GB2312" w:cs="仿宋_GB2312"/>
          <w:color w:val="000000" w:themeColor="text1"/>
          <w:sz w:val="32"/>
          <w:szCs w:val="32"/>
          <w14:textFill>
            <w14:solidFill>
              <w14:schemeClr w14:val="tx1"/>
            </w14:solidFill>
          </w14:textFill>
        </w:rPr>
        <w:t>万元，受益户数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1042</w:t>
      </w:r>
      <w:r>
        <w:rPr>
          <w:rFonts w:hint="eastAsia" w:ascii="仿宋_GB2312" w:hAnsi="仿宋_GB2312" w:eastAsia="仿宋_GB2312" w:cs="仿宋_GB2312"/>
          <w:color w:val="000000" w:themeColor="text1"/>
          <w:sz w:val="32"/>
          <w:szCs w:val="32"/>
          <w14:textFill>
            <w14:solidFill>
              <w14:schemeClr w14:val="tx1"/>
            </w14:solidFill>
          </w14:textFill>
        </w:rPr>
        <w:t>户，补贴机具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1243</w:t>
      </w:r>
      <w:r>
        <w:rPr>
          <w:rFonts w:hint="eastAsia" w:ascii="仿宋_GB2312" w:hAnsi="仿宋_GB2312" w:eastAsia="仿宋_GB2312" w:cs="仿宋_GB2312"/>
          <w:color w:val="000000" w:themeColor="text1"/>
          <w:sz w:val="32"/>
          <w:szCs w:val="32"/>
          <w14:textFill>
            <w14:solidFill>
              <w14:schemeClr w14:val="tx1"/>
            </w14:solidFill>
          </w14:textFill>
        </w:rPr>
        <w:t>台（套）。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二、工作措施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（一）加强组织领导，完善工作责任机制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确保农机购置补贴工作顺利实施，成立了秦州区农机购置补贴工作领导小组，区农业局、财政局充分发挥部门职能作用，严格资金管理，加大监督检查力度，协调解决有关具体问题。同时建立健全农机购置补贴工作机制和内部约束机制，落实“主要领导负总责、分管领导负全责、工作人员直接负责”的工作责任制，层层签订责任书，明确任务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（二）广泛宣传引导，营造良好舆论氛围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充分利用各类网站新闻媒体、会议、印发宣传资料等多种形式，加强农机购置补贴政策的宣传工作，让农民了解农机购置补贴政策内容、程序和要求，提高了农机购置补贴政策知晓率、知情率，扩大了农民的知情权，增加了工作透明度。二是针对全面实行普惠制和“自主购机、定额补贴、县级结算、直补到卡”的兑付方式，我们在农机化网站上公示农机购置补贴资金进度及补贴农户信息表。三是在区补贴办公室和乡镇农机管理服务站设立咨询点，安排专人负责解答群众提出的相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（三）严格按照要求，积极推进信息公开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了积极推进信息公开购置，推进补贴信息管理系统的普及应用，提高透明度和工作效率，区农机总站将农机购置补贴政策实施情况列入政务公开内容，制定印发了《秦州区农机购置补贴信息公开制度》和《秦州区农机购置补贴信息系统管理制度》等五项管理制度，进一步完善了农机购置补贴信息公开专栏，对所有可以公开的补贴资料、文件等信息都全面公开。推行实施后的全程全面公开，让农民享有知情权、参与权、监督权。在补贴资金兑付前，按照结算批次对受益对象信息在甘肃省农机购置补贴信息公开专栏、秦州区人民政府网等网站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（四）规范程序操作，完善监督管理机制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严格执行国务院“三个严禁”和农业部“四个禁止”、“八个不得”及《财政部关于切实加强农机购置补贴政策实施监管工作的通知》（财农〔2011〕17号）、《农业部关于加快推进农机购置补贴廉政风险防控机制建设的意见》（农机发〔2011〕4号）和省局的相关要求，规范操作，严格管理。认真落实“谁办理、谁负责、谁核实、谁负责”的责任追究制度，自觉接受省、市相关部门和有关方面的监督。没有向农民和企业以任何形式收取任何额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（五）强化监督检查，确保补贴政策落实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了确保农机购置补贴工作有序、有效进行，一是成立了农机购置补贴监督检查工作领导小组和农机购置补贴政策落实延伸绩效管理领导小组，充分发挥财政、农机等部门的监管职能，负责督导农机购置补贴政策的全面落实，研究解决工作中出现的问题。二是根据省局的有关规定和要求，认真落实《甘肃省农机产品质量投诉监督管理办法》，进一步加大补贴机具核实力度，做到“见人、见机、见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（六）加强工作配合，提高补贴工作效率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根据“自主购机、定额补贴、县级结算、直补到卡”的要求，我区对农机购置补贴资金实行“一折统”发放管理。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三、实施效果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今年以来，农机购置补贴政策的有效实施，有力地推动了全区农业机械化又好又快发展，极大地调动了广大农民购置农机的积极性，拓宽了农民增收致富门路，增加了农民收入，提高了农业综合生产能力。对我区小麦、玉米、马铃薯全程机械化起到了积极的推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今后的农机购置补贴实施过程中，我们将继续遵循公正、公开、透明、有效的原则，严格执行有关规定，从加大宣传力度，搞好调查摸底，强化人员培训，加强资金监管力度等方面入手，实行阳光操作，严肃工作纪律，狠抓农机购置补贴工作任务落实，全面推进农机化事业健康、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0MTljMjU1MTU2Y2QxZWQ1ZWY1ZmMwYWExMDk2OGEifQ=="/>
  </w:docVars>
  <w:rsids>
    <w:rsidRoot w:val="00000000"/>
    <w:rsid w:val="03C1359D"/>
    <w:rsid w:val="3D0D4A77"/>
    <w:rsid w:val="426D079E"/>
    <w:rsid w:val="69701F4F"/>
    <w:rsid w:val="707D6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1672</Words>
  <Characters>1696</Characters>
  <Lines>0</Lines>
  <Paragraphs>0</Paragraphs>
  <TotalTime>1</TotalTime>
  <ScaleCrop>false</ScaleCrop>
  <LinksUpToDate>false</LinksUpToDate>
  <CharactersWithSpaces>1696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2022-03-24T07:20:00Z</dcterms:created>
  <dc:creator>lx</dc:creator>
  <cp:lastModifiedBy>Administrator</cp:lastModifiedBy>
  <dcterms:modified xsi:type="dcterms:W3CDTF">2023-02-07T06:14:48Z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B70562EDFD1E4081B9CD74AF2B83BDDB</vt:lpwstr>
  </property>
</Properties>
</file>