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089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14:textFill>
            <w14:solidFill>
              <w14:schemeClr w14:val="tx1"/>
            </w14:solidFill>
          </w14:textFill>
        </w:rPr>
        <w:t>附件2：</w:t>
      </w:r>
    </w:p>
    <w:p w14:paraId="20822A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eastAsia" w:ascii="方正小标宋简体" w:hAnsi="方正小标宋简体" w:eastAsia="方正小标宋简体" w:cs="方正小标宋简体"/>
          <w:i w:val="0"/>
          <w:caps w:val="0"/>
          <w:color w:val="000000" w:themeColor="text1"/>
          <w:spacing w:val="0"/>
          <w:sz w:val="32"/>
          <w:szCs w:val="32"/>
          <w14:textFill>
            <w14:solidFill>
              <w14:schemeClr w14:val="tx1"/>
            </w14:solidFill>
          </w14:textFill>
        </w:rPr>
      </w:pPr>
    </w:p>
    <w:p w14:paraId="2DDCA2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Style w:val="7"/>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t>农机</w:t>
      </w:r>
      <w:r>
        <w:rPr>
          <w:rStyle w:val="7"/>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t>专项鉴定产品购置补贴实施工作规范</w:t>
      </w:r>
      <w:r>
        <w:rPr>
          <w:rStyle w:val="7"/>
          <w:rFonts w:hint="eastAsia" w:ascii="方正小标宋简体" w:hAnsi="方正小标宋简体" w:eastAsia="方正小标宋简体" w:cs="方正小标宋简体"/>
          <w:i w:val="0"/>
          <w:caps w:val="0"/>
          <w:color w:val="000000" w:themeColor="text1"/>
          <w:spacing w:val="0"/>
          <w:sz w:val="32"/>
          <w:szCs w:val="32"/>
          <w14:textFill>
            <w14:solidFill>
              <w14:schemeClr w14:val="tx1"/>
            </w14:solidFill>
          </w14:textFill>
        </w:rPr>
        <w:t>（试行）</w:t>
      </w:r>
    </w:p>
    <w:bookmarkEnd w:id="0"/>
    <w:p w14:paraId="7134A8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Style w:val="7"/>
          <w:rFonts w:hint="eastAsia" w:ascii="方正小标宋简体" w:hAnsi="方正小标宋简体" w:eastAsia="方正小标宋简体" w:cs="方正小标宋简体"/>
          <w:i w:val="0"/>
          <w:caps w:val="0"/>
          <w:color w:val="000000" w:themeColor="text1"/>
          <w:spacing w:val="0"/>
          <w:sz w:val="32"/>
          <w:szCs w:val="32"/>
          <w14:textFill>
            <w14:solidFill>
              <w14:schemeClr w14:val="tx1"/>
            </w14:solidFill>
          </w14:textFill>
        </w:rPr>
      </w:pPr>
    </w:p>
    <w:p w14:paraId="710698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14:textFill>
            <w14:solidFill>
              <w14:schemeClr w14:val="tx1"/>
            </w14:solidFill>
          </w14:textFill>
        </w:rPr>
        <w:t>一、补贴产品选定</w:t>
      </w:r>
    </w:p>
    <w:p w14:paraId="76038A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t>（一）产品条件。</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参与农机购置补贴的农机专项鉴定产品应符合以下条件：</w:t>
      </w:r>
    </w:p>
    <w:p w14:paraId="69A246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1.由基层农业农村部门提出建议，技术创新特征明显，能够弥补农业机械化发展短板，能够确保农业生产数据安全，提升农业机械化水平。</w:t>
      </w:r>
    </w:p>
    <w:p w14:paraId="1AC314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已通过农机专项鉴定且信息完整准确上传至全国农业机械试验鉴定管理服务信息化平台。其中，属现行推广鉴定大纲不能涵盖其主要功能和主体结构的产品，其上传至平台的信息还应包括推广鉴定大纲涵盖的全部内容。</w:t>
      </w:r>
    </w:p>
    <w:p w14:paraId="2E51F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3.已在本省由鉴定机构实地检验，并出具试验报告，或取得县级以上农业农村部门、检测、鉴定、推广、科研等单位出具的实地试验验证报告，或经省级农业农村部门组织进行适用性评估，并出具评估报告。</w:t>
      </w:r>
    </w:p>
    <w:p w14:paraId="1D6298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t>（二）选定程序。</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各省按以下程序遴选确定拟参与农机购置补贴的专项鉴定产品对应的品目：</w:t>
      </w:r>
    </w:p>
    <w:p w14:paraId="476B03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1.征集建议。紧紧围绕巩固拓展脱贫攻坚成果、全面推进乡村振兴、加快推进农业农村现代化，聚焦农业绿色发展和农业机械化全程全面高质高效转型升级，面向基层农业农村部门公开征集拟参与补贴的农机专项鉴定产品建议。</w:t>
      </w:r>
    </w:p>
    <w:p w14:paraId="093CD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专家评议。邀请农机购置补贴管理、试验鉴定、技术推广等方面和产业部门、行业协会、科研院校以及基层农业农村部门、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对争议较大的产品品目归属，应书面征求全国农业机械标准化技术委员会农业机械化分技术委员会（农业农村部农机化总站）意见。</w:t>
      </w:r>
    </w:p>
    <w:p w14:paraId="3C31F6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3.审定公示。经集体研究审定后，在省级农业农村部门主办或指定的网站公示，公示期不少于5个工作日。</w:t>
      </w:r>
    </w:p>
    <w:p w14:paraId="3D233B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4.发布实施。公示无异议后，予以公布。公布内容包括补贴品目、产品名称及对应的大纲。原则上，农机专项鉴定产品购置补贴种类范围应每年第一季度公布，并按年度进行调整。</w:t>
      </w:r>
    </w:p>
    <w:p w14:paraId="2F3002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t>（三）实施时间。</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农机专项鉴定产品购置补贴实施周期一般为三年，可按年度调整。具体由各省根据农机购置补贴实施周期、农机专项鉴定产品证书有效期等确定。专项鉴定大纲转化为推广鉴定大纲后，按该专项鉴定大纲进行鉴定的产品，其补贴资质最多可延长至其鉴定证书有效期止后一年。</w:t>
      </w:r>
    </w:p>
    <w:p w14:paraId="4F1740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14:textFill>
            <w14:solidFill>
              <w14:schemeClr w14:val="tx1"/>
            </w14:solidFill>
          </w14:textFill>
        </w:rPr>
        <w:t>二、补贴机具分档与补贴额测算</w:t>
      </w:r>
    </w:p>
    <w:p w14:paraId="0223B1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农机专项鉴定产品补贴的分类分档、补贴额测定和投档等工作总体按照现行农机购置补贴政策相关规定开展，并符合以下要求。</w:t>
      </w:r>
    </w:p>
    <w:p w14:paraId="064F04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t>（一）补贴机具分档。</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组织农机购置补贴管理、试验鉴定、技术推广、生产制造等方面的专家，紧紧围绕机具的性能、结构、材质等指标，集体研究确定专项鉴定产品的分类分档参数。属全国补贴范围内、现行农机推广鉴定大纲不能涵盖的专项鉴定产品，应在同类产品分档参数基础上，增加有关创新性指标参数，并单独分档。</w:t>
      </w:r>
    </w:p>
    <w:p w14:paraId="579CB6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t>（二）补贴额测算。</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测算农机专项鉴定产品补贴定额，其市场销售均价可通过市场调查获取，也可委托有资质的第三方进行价格测算。对于只有一家企业生产的，应当委托有资质的第三方进行价格审计。补贴额原则上不高于同类或相似补贴产品补贴额。</w:t>
      </w:r>
    </w:p>
    <w:p w14:paraId="07BDAE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t>（三）补贴机具投档。</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组织农机生产企业按规定投档，对于现行推广鉴定大纲不能涵盖其主要功能和主体结构的专项鉴定产品，投档时应同步上传农机试验鉴定证书（鉴定类型为推广鉴定）。对超范围投送产品及投送品目、档次错误的，按违规行为处理。</w:t>
      </w:r>
    </w:p>
    <w:p w14:paraId="07D88E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14:textFill>
            <w14:solidFill>
              <w14:schemeClr w14:val="tx1"/>
            </w14:solidFill>
          </w14:textFill>
        </w:rPr>
        <w:t>三、实施管理</w:t>
      </w:r>
    </w:p>
    <w:p w14:paraId="0EF191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农机专项鉴定产品的补贴实施要严格执行农机购置补贴政策实施有关规定，并切实做好以下工作。</w:t>
      </w:r>
    </w:p>
    <w:p w14:paraId="6D0BCA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t>（一）加强组织领导。</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健全完善风险防控工作制度和内部控制规程，推行全程信息化操作。集体研究的事项，要有包含参会人员发言内容的会议记录，并形成会议纪要或意见。</w:t>
      </w:r>
    </w:p>
    <w:p w14:paraId="1C0754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t>（二）及时公开信息。</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按照有关规定发布农机专项鉴定产品补贴实施方案，公开资金规模、实施区域、操作程序，以及补贴额一览表、补贴机具信息表等信息。</w:t>
      </w:r>
    </w:p>
    <w:p w14:paraId="78FFBD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t>（三）强化诚信建设。</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组织自愿参与补贴的农机专项鉴定产品生产企业进行书面承诺，明确其在产品质量、经销商管理、销售价格真实性、售后服务、退换货及纠纷处理等方面的主体责任，并监督其履行承诺。</w:t>
      </w:r>
    </w:p>
    <w:p w14:paraId="6ABA67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t>（四）做好进度调度。</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对专项鉴定产品补贴实施情况按品目及对应的专项鉴定大纲进行单独调度，并按月汇总上报。</w:t>
      </w:r>
    </w:p>
    <w:p w14:paraId="55C715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t>（五）开展抽查监督。</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委托有产品质量检验检测资质的第三方机构开展一定比例的补贴产品抽查核验，严格查处违规行为。</w:t>
      </w:r>
    </w:p>
    <w:p w14:paraId="1779BC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各省要结合专项鉴定产品补贴实施情况，适时提出农机推广鉴定大纲制修订建议，推动将相关专项鉴定大纲转化为推广鉴定大纲，提出新增相应机具品目建议。农业农村部将农机专项鉴定产品购置补贴实施工作列入省级农机购置补贴政策落实延伸绩效管理，对管理不到位、实施问题较多、风险较大的省份，敦促整改，整改不到位的，可暂停其开展农机专项鉴定产品购置补贴实施工作。</w:t>
      </w:r>
    </w:p>
    <w:p w14:paraId="1BCCB65B"/>
    <w:p w14:paraId="11794E76"/>
    <w:sectPr>
      <w:headerReference r:id="rId3" w:type="default"/>
      <w:footerReference r:id="rId4" w:type="default"/>
      <w:pgSz w:w="11906" w:h="16838"/>
      <w:pgMar w:top="1701" w:right="1587"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2E0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5573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35573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4CB4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MzBkNWIzZmJjNzllODgzYTZhNWM4MDY3YTU5ZmIifQ=="/>
  </w:docVars>
  <w:rsids>
    <w:rsidRoot w:val="381035F4"/>
    <w:rsid w:val="3810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2024-09-03T03:14:00Z</dcterms:created>
  <dc:creator>可乐喝完了</dc:creator>
  <cp:lastModifiedBy>可乐喝完了</cp:lastModifiedBy>
  <dcterms:modified xsi:type="dcterms:W3CDTF">2024-09-03T03:15:02Z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17487788BADA4D2CADAC3CB911381271_11</vt:lpwstr>
  </property>
</Properties>
</file>