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E7C37">
      <w:pPr>
        <w:keepNext w:val="0"/>
        <w:keepLines w:val="0"/>
        <w:pageBreakBefore w:val="0"/>
        <w:widowControl w:val="0"/>
        <w:kinsoku/>
        <w:wordWrap/>
        <w:overflowPunct/>
        <w:topLinePunct w:val="0"/>
        <w:autoSpaceDE/>
        <w:autoSpaceDN/>
        <w:bidi w:val="0"/>
        <w:adjustRightInd w:val="0"/>
        <w:snapToGrid/>
        <w:spacing w:before="313" w:beforeLines="10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华文中宋" w:hAnsi="华文中宋" w:eastAsia="华文中宋" w:cs="华文中宋"/>
          <w:sz w:val="44"/>
          <w:szCs w:val="44"/>
          <w:lang w:eastAsia="zh-CN"/>
        </w:rPr>
        <w:t>金川区</w:t>
      </w:r>
      <w:r>
        <w:rPr>
          <w:rFonts w:hint="eastAsia" w:ascii="华文中宋" w:hAnsi="华文中宋" w:eastAsia="华文中宋" w:cs="华文中宋"/>
          <w:sz w:val="44"/>
          <w:szCs w:val="44"/>
          <w:lang w:val="en-US" w:eastAsia="zh-CN"/>
        </w:rPr>
        <w:t>2024年度老旧农业机械报废更新补贴实施公告</w:t>
      </w:r>
    </w:p>
    <w:p w14:paraId="4CA93ED4">
      <w:pPr>
        <w:keepNext w:val="0"/>
        <w:keepLines w:val="0"/>
        <w:pageBreakBefore w:val="0"/>
        <w:widowControl w:val="0"/>
        <w:kinsoku/>
        <w:wordWrap/>
        <w:overflowPunct/>
        <w:topLinePunct w:val="0"/>
        <w:autoSpaceDE/>
        <w:autoSpaceDN/>
        <w:bidi w:val="0"/>
        <w:adjustRightInd w:val="0"/>
        <w:snapToGrid/>
        <w:spacing w:before="313" w:beforeLines="100" w:line="520" w:lineRule="exact"/>
        <w:ind w:right="0" w:rightChars="0" w:firstLine="640" w:firstLineChars="200"/>
        <w:jc w:val="left"/>
        <w:textAlignment w:val="auto"/>
        <w:outlineLvl w:val="9"/>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sz w:val="32"/>
          <w:szCs w:val="32"/>
          <w:lang w:eastAsia="zh-CN"/>
          <w14:textFill>
            <w14:solidFill>
              <w14:schemeClr w14:val="tx1"/>
            </w14:solidFill>
          </w14:textFill>
        </w:rPr>
        <w:t>20</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24</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年，金川区老旧农业机械报废更新补贴工作严格按照《甘肃省老旧农业机械报废更新专项行动方案的通知》</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甘设专责农机发[</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2024</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16号)和</w:t>
      </w:r>
      <w:r>
        <w:rPr>
          <w:rFonts w:hint="eastAsia" w:ascii="Times New Roman" w:hAnsi="Times New Roman" w:eastAsia="仿宋_GB2312" w:cs="Times New Roman"/>
          <w:spacing w:val="0"/>
          <w:sz w:val="32"/>
          <w:szCs w:val="32"/>
          <w:lang w:eastAsia="zh-CN"/>
        </w:rPr>
        <w:t>《金川区老旧农业机械报废更新专项行动方案》</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(金区</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农发[</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2024</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277号)文件</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精神进行落实</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 xml:space="preserve">。   </w:t>
      </w:r>
      <w:bookmarkStart w:id="0" w:name="_GoBack"/>
      <w:bookmarkEnd w:id="0"/>
    </w:p>
    <w:p w14:paraId="4A6C7E9D">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outlineLvl w:val="9"/>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2024年，甘肃省发展和改革委员会和金川区发展和改革局下达金川区超长期特别国债报废更新补贴资金110万元，其中：第一批超长期特别国债报废更新补贴资金66万元</w:t>
      </w:r>
      <w:r>
        <w:rPr>
          <w:rFonts w:hint="eastAsia" w:ascii="Times New Roman" w:hAnsi="Times New Roman" w:eastAsia="仿宋" w:cs="Times New Roman"/>
          <w:color w:val="000000"/>
          <w:kern w:val="0"/>
          <w:sz w:val="32"/>
          <w:szCs w:val="32"/>
          <w:lang w:val="en-US" w:eastAsia="zh-CN"/>
        </w:rPr>
        <w:t>（甘发改投资〔2024〕587号）</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，第二批超长期特别国债报废更新补贴资金44万元</w:t>
      </w:r>
      <w:r>
        <w:rPr>
          <w:rFonts w:hint="eastAsia" w:ascii="Times New Roman" w:hAnsi="Times New Roman" w:eastAsia="仿宋" w:cs="Times New Roman"/>
          <w:color w:val="000000"/>
          <w:kern w:val="0"/>
          <w:sz w:val="32"/>
          <w:szCs w:val="32"/>
          <w:lang w:val="en-US" w:eastAsia="zh-CN"/>
        </w:rPr>
        <w:t>（金区发改〔2024〕105号）</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资金下达后，</w:t>
      </w:r>
      <w:r>
        <w:rPr>
          <w:rFonts w:hint="eastAsia" w:ascii="仿宋" w:hAnsi="仿宋" w:eastAsia="仿宋" w:cs="仿宋"/>
          <w:b w:val="0"/>
          <w:bCs w:val="0"/>
          <w:color w:val="000000" w:themeColor="text1"/>
          <w:spacing w:val="0"/>
          <w:sz w:val="32"/>
          <w:szCs w:val="32"/>
          <w14:textFill>
            <w14:solidFill>
              <w14:schemeClr w14:val="tx1"/>
            </w14:solidFill>
          </w14:textFill>
        </w:rPr>
        <w:t>我区</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严格按照报废更新补贴工作流程，积极推行“先购后补、先报后补”模式，对符合要求的补贴及时兑付了资金</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 xml:space="preserve">。                             </w:t>
      </w:r>
    </w:p>
    <w:p w14:paraId="0BF39AB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firstLineChars="200"/>
        <w:jc w:val="left"/>
        <w:textAlignment w:val="auto"/>
        <w:outlineLvl w:val="9"/>
        <w:rPr>
          <w:rFonts w:hint="default" w:ascii="Times New Roman" w:hAnsi="Times New Roman" w:eastAsia="仿宋" w:cs="Times New Roman"/>
          <w:b w:val="0"/>
          <w:bC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在农机报废更新补贴实施过程中大力推广使用手机APP和甘快办，方便购机者随时在线提交补贴申请、应录尽录。共审核报废更新补贴</w:t>
      </w:r>
      <w:r>
        <w:rPr>
          <w:rFonts w:hint="eastAsia" w:ascii="仿宋" w:hAnsi="仿宋" w:eastAsia="仿宋" w:cs="仿宋"/>
          <w:color w:val="000000" w:themeColor="text1"/>
          <w:sz w:val="32"/>
          <w:szCs w:val="32"/>
          <w:lang w:eastAsia="zh-CN"/>
          <w14:textFill>
            <w14:solidFill>
              <w14:schemeClr w14:val="tx1"/>
            </w14:solidFill>
          </w14:textFill>
        </w:rPr>
        <w:t>申请</w:t>
      </w:r>
      <w:r>
        <w:rPr>
          <w:rFonts w:hint="eastAsia" w:ascii="仿宋" w:hAnsi="仿宋" w:eastAsia="仿宋" w:cs="仿宋"/>
          <w:color w:val="000000" w:themeColor="text1"/>
          <w:sz w:val="32"/>
          <w:szCs w:val="32"/>
          <w:lang w:val="en-US" w:eastAsia="zh-CN"/>
          <w14:textFill>
            <w14:solidFill>
              <w14:schemeClr w14:val="tx1"/>
            </w14:solidFill>
          </w14:textFill>
        </w:rPr>
        <w:t>63份，报废更新补贴农户54户，报废更新补贴机具63台（套），其中：更新补贴农户17户，</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补贴金额82.88万元，</w:t>
      </w:r>
      <w:r>
        <w:rPr>
          <w:rFonts w:hint="eastAsia" w:ascii="仿宋" w:hAnsi="仿宋" w:eastAsia="仿宋" w:cs="仿宋"/>
          <w:color w:val="000000" w:themeColor="text1"/>
          <w:sz w:val="32"/>
          <w:szCs w:val="32"/>
          <w:lang w:val="en-US" w:eastAsia="zh-CN"/>
          <w14:textFill>
            <w14:solidFill>
              <w14:schemeClr w14:val="tx1"/>
            </w14:solidFill>
          </w14:textFill>
        </w:rPr>
        <w:t>补贴机具18台</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（拖拉机），报废农户37户，报废补贴27.12万元，报废补贴机具45台（套），</w:t>
      </w:r>
      <w:r>
        <w:rPr>
          <w:rFonts w:hint="eastAsia" w:ascii="仿宋" w:hAnsi="仿宋" w:eastAsia="仿宋" w:cs="仿宋"/>
          <w:color w:val="000000" w:themeColor="text1"/>
          <w:sz w:val="32"/>
          <w:szCs w:val="32"/>
          <w:lang w:val="en-US" w:eastAsia="zh-CN"/>
          <w14:textFill>
            <w14:solidFill>
              <w14:schemeClr w14:val="tx1"/>
            </w14:solidFill>
          </w14:textFill>
        </w:rPr>
        <w:t>其中：拖拉机15台、旋播机1台、自走式玉米收获机9台、犁1台、青（黄）饲料收获机1台，</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全年共完成补贴金额</w:t>
      </w:r>
      <w:r>
        <w:rPr>
          <w:rFonts w:hint="eastAsia" w:ascii="仿宋" w:hAnsi="仿宋" w:eastAsia="仿宋" w:cs="仿宋"/>
          <w:color w:val="000000" w:themeColor="text1"/>
          <w:sz w:val="32"/>
          <w:szCs w:val="32"/>
          <w:lang w:val="en-US" w:eastAsia="zh-CN"/>
          <w14:textFill>
            <w14:solidFill>
              <w14:schemeClr w14:val="tx1"/>
            </w14:solidFill>
          </w14:textFill>
        </w:rPr>
        <w:t>110</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14:textFill>
            <w14:solidFill>
              <w14:schemeClr w14:val="tx1"/>
            </w14:solidFill>
          </w14:textFill>
        </w:rPr>
        <w:t>带动农民购机投入资金</w:t>
      </w:r>
      <w:r>
        <w:rPr>
          <w:rFonts w:hint="eastAsia" w:ascii="仿宋" w:hAnsi="仿宋" w:eastAsia="仿宋" w:cs="仿宋"/>
          <w:color w:val="000000" w:themeColor="text1"/>
          <w:sz w:val="32"/>
          <w:szCs w:val="32"/>
          <w:lang w:val="en-US" w:eastAsia="zh-CN"/>
          <w14:textFill>
            <w14:solidFill>
              <w14:schemeClr w14:val="tx1"/>
            </w14:solidFill>
          </w14:textFill>
        </w:rPr>
        <w:t>655.26</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pacing w:val="0"/>
          <w:sz w:val="32"/>
          <w:szCs w:val="32"/>
          <w14:textFill>
            <w14:solidFill>
              <w14:schemeClr w14:val="tx1"/>
            </w14:solidFill>
          </w14:textFill>
        </w:rPr>
        <w:t>农机</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报废更新</w:t>
      </w:r>
      <w:r>
        <w:rPr>
          <w:rFonts w:hint="eastAsia" w:ascii="仿宋" w:hAnsi="仿宋" w:eastAsia="仿宋" w:cs="仿宋"/>
          <w:b w:val="0"/>
          <w:bCs w:val="0"/>
          <w:color w:val="000000" w:themeColor="text1"/>
          <w:spacing w:val="0"/>
          <w:sz w:val="32"/>
          <w:szCs w:val="32"/>
          <w14:textFill>
            <w14:solidFill>
              <w14:schemeClr w14:val="tx1"/>
            </w14:solidFill>
          </w14:textFill>
        </w:rPr>
        <w:t>补贴项目的实施，</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既提高了粮食综合生产能力，促进了农业增效农民增收，有效地提升了农业机械化在农业生产中的重要作用。也加力推进</w:t>
      </w:r>
      <w:r>
        <w:rPr>
          <w:rFonts w:hint="eastAsia" w:ascii="仿宋" w:hAnsi="仿宋" w:eastAsia="仿宋" w:cs="仿宋"/>
          <w:b w:val="0"/>
          <w:bCs w:val="0"/>
          <w:color w:val="000000" w:themeColor="text1"/>
          <w:spacing w:val="0"/>
          <w:sz w:val="32"/>
          <w:szCs w:val="32"/>
          <w14:textFill>
            <w14:solidFill>
              <w14:schemeClr w14:val="tx1"/>
            </w14:solidFill>
          </w14:textFill>
        </w:rPr>
        <w:t>了</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全区耗能高、污染重、安全性能低的老旧农业机械淘汰报废，加快先进适用、节能环保、安全可靠农业机械的更新应用，不断优化农机装备结构，推进农业机械化转型升级和农业绿色发展，为建设农业强区提供重要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OTY0Zjk1MGZmOWQ2ZjU1YjcxY2NhYzI3ZjIyMzgifQ=="/>
  </w:docVars>
  <w:rsids>
    <w:rsidRoot w:val="00000000"/>
    <w:rsid w:val="01B24CA2"/>
    <w:rsid w:val="02552E8B"/>
    <w:rsid w:val="04C9670A"/>
    <w:rsid w:val="06FA6588"/>
    <w:rsid w:val="08465092"/>
    <w:rsid w:val="09B71FED"/>
    <w:rsid w:val="0B0A2B6F"/>
    <w:rsid w:val="0B6D1E7F"/>
    <w:rsid w:val="0D740370"/>
    <w:rsid w:val="15BF2EBB"/>
    <w:rsid w:val="15C20634"/>
    <w:rsid w:val="16CB41F0"/>
    <w:rsid w:val="19C27ED7"/>
    <w:rsid w:val="1B813261"/>
    <w:rsid w:val="1C3D4A68"/>
    <w:rsid w:val="1C8E2417"/>
    <w:rsid w:val="1CE43C8A"/>
    <w:rsid w:val="1E076A23"/>
    <w:rsid w:val="1ECF58FA"/>
    <w:rsid w:val="1F1A7C2B"/>
    <w:rsid w:val="21A41CD9"/>
    <w:rsid w:val="242264CA"/>
    <w:rsid w:val="2B0E7041"/>
    <w:rsid w:val="2BE21D6A"/>
    <w:rsid w:val="30633411"/>
    <w:rsid w:val="30A040C7"/>
    <w:rsid w:val="34DB1C04"/>
    <w:rsid w:val="3B4503AF"/>
    <w:rsid w:val="417D116C"/>
    <w:rsid w:val="421654EA"/>
    <w:rsid w:val="458A79F4"/>
    <w:rsid w:val="479358FE"/>
    <w:rsid w:val="48915F03"/>
    <w:rsid w:val="4A1A5C5A"/>
    <w:rsid w:val="4B263F92"/>
    <w:rsid w:val="4F8E4414"/>
    <w:rsid w:val="524575C7"/>
    <w:rsid w:val="572F4784"/>
    <w:rsid w:val="581501F2"/>
    <w:rsid w:val="5B420E19"/>
    <w:rsid w:val="5B606C24"/>
    <w:rsid w:val="5B8A2436"/>
    <w:rsid w:val="5D8748D9"/>
    <w:rsid w:val="5DC1053A"/>
    <w:rsid w:val="5FDC2911"/>
    <w:rsid w:val="605C2B68"/>
    <w:rsid w:val="620563EF"/>
    <w:rsid w:val="624E154D"/>
    <w:rsid w:val="63A90E65"/>
    <w:rsid w:val="658112A0"/>
    <w:rsid w:val="694F7CAA"/>
    <w:rsid w:val="6A6D0ED8"/>
    <w:rsid w:val="6CA67AB9"/>
    <w:rsid w:val="6CB725DD"/>
    <w:rsid w:val="6FC76CAA"/>
    <w:rsid w:val="70AC5DC6"/>
    <w:rsid w:val="70C40A27"/>
    <w:rsid w:val="729C3A6A"/>
    <w:rsid w:val="750D4F65"/>
    <w:rsid w:val="7672136F"/>
    <w:rsid w:val="76C74CAF"/>
    <w:rsid w:val="78587F32"/>
    <w:rsid w:val="7A311AFB"/>
    <w:rsid w:val="7DA53AA3"/>
    <w:rsid w:val="7F517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723</Characters>
  <Lines>0</Lines>
  <Paragraphs>0</Paragraphs>
  <TotalTime>2</TotalTime>
  <ScaleCrop>false</ScaleCrop>
  <LinksUpToDate>false</LinksUpToDate>
  <CharactersWithSpaces>755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赵华</cp:lastModifiedBy>
  <cp:lastPrinted>2022-11-30T08:03:00Z</cp:lastPrinted>
  <dcterms:modified xsi:type="dcterms:W3CDTF">2024-11-28T02:10:32Z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34807221A8444474BEA4EF2378801296_13</vt:lpwstr>
  </property>
</Properties>
</file>