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5F" w:rsidRPr="00FF3DF5" w:rsidRDefault="00D81ACD">
      <w:pPr>
        <w:pStyle w:val="11"/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甘州区</w:t>
      </w:r>
      <w:r w:rsidR="00C97AFA" w:rsidRPr="00FF3DF5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农机购置补贴机具核验</w:t>
      </w:r>
      <w:r w:rsidR="003F278C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规程</w:t>
      </w:r>
    </w:p>
    <w:p w:rsidR="003C205F" w:rsidRDefault="003C205F">
      <w:pPr>
        <w:widowControl w:val="0"/>
        <w:adjustRightInd w:val="0"/>
        <w:snapToGrid w:val="0"/>
        <w:spacing w:line="560" w:lineRule="exac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为保障农机购置补贴资金安全、强化农机购置补贴监督管理，根据国家农机购置补贴政策和工作要求，结合我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区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补贴政策实施实际，制定本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制度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。</w:t>
      </w:r>
    </w:p>
    <w:p w:rsidR="003C205F" w:rsidRPr="00A06C82" w:rsidRDefault="00C97AFA" w:rsidP="00A06C82">
      <w:pPr>
        <w:widowControl w:val="0"/>
        <w:tabs>
          <w:tab w:val="left" w:pos="6930"/>
        </w:tabs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宋体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第一条</w:t>
      </w:r>
      <w:r w:rsidRPr="00A06C82">
        <w:rPr>
          <w:rFonts w:ascii="仿宋_GB2312" w:eastAsia="仿宋_GB2312" w:hAnsi="Times New Roman" w:cs="黑体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农机购置补贴机具核验责任主体是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甘州区</w:t>
      </w:r>
      <w:r w:rsidR="001C445A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农业农村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局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，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甘州区农业机械化技术推广站和乡镇农机人员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按职责分工参与抽查。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宋体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第二条</w:t>
      </w:r>
      <w:r w:rsidRPr="00A06C82">
        <w:rPr>
          <w:rFonts w:ascii="仿宋_GB2312" w:eastAsia="仿宋_GB2312" w:hAnsi="Times New Roman" w:cs="黑体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核验对象为年度内申请农机购置补贴的农业机械。</w:t>
      </w:r>
    </w:p>
    <w:p w:rsidR="003C205F" w:rsidRPr="00A06C82" w:rsidRDefault="00C97AFA" w:rsidP="00A06C82">
      <w:pPr>
        <w:widowControl w:val="0"/>
        <w:spacing w:line="600" w:lineRule="exact"/>
        <w:ind w:firstLineChars="200" w:firstLine="640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第三条</w:t>
      </w:r>
      <w:r w:rsidRPr="00A06C82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核验方式为资料形式审查和机具现场核验。资料形式审查是指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甘州区</w:t>
      </w:r>
      <w:r w:rsidR="001C445A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农业农村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局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、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甘州区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财政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局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按职责分工对购机者提供的补贴申请资料的合规性进行形式审查。机具现场核验是指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甘州区</w:t>
      </w:r>
      <w:r w:rsidR="001C445A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农业农村</w:t>
      </w:r>
      <w:r w:rsidR="00966BF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局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对补贴机具的真实性进行核查。</w:t>
      </w:r>
    </w:p>
    <w:p w:rsidR="003C205F" w:rsidRPr="00A06C82" w:rsidRDefault="00C97AFA" w:rsidP="00A06C82">
      <w:pPr>
        <w:widowControl w:val="0"/>
        <w:spacing w:line="600" w:lineRule="exact"/>
        <w:ind w:firstLineChars="200" w:firstLine="640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第四条</w:t>
      </w:r>
      <w:r w:rsidRPr="00A06C82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核验内容为购机者身份的真实性、购机者申请资料的合规性、补贴机具的真实性、购机行为的真实性等。</w:t>
      </w:r>
    </w:p>
    <w:p w:rsidR="00171841" w:rsidRPr="00A06C82" w:rsidRDefault="00171841" w:rsidP="00A06C82">
      <w:pPr>
        <w:widowControl w:val="0"/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第五条</w:t>
      </w:r>
      <w:r w:rsidRPr="00A06C82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机具核验：</w:t>
      </w:r>
    </w:p>
    <w:p w:rsidR="00171841" w:rsidRPr="00D4196F" w:rsidRDefault="00171841" w:rsidP="00A06C82">
      <w:pPr>
        <w:widowControl w:val="0"/>
        <w:spacing w:line="600" w:lineRule="exact"/>
        <w:ind w:firstLineChars="200" w:firstLine="643"/>
        <w:jc w:val="both"/>
        <w:rPr>
          <w:rFonts w:ascii="楷体_GB2312" w:eastAsia="楷体_GB2312" w:hAnsi="Times New Roman" w:cs="CESI仿宋-GB13000"/>
          <w:b/>
          <w:color w:val="000000"/>
          <w:sz w:val="32"/>
          <w:szCs w:val="32"/>
        </w:rPr>
      </w:pPr>
      <w:r w:rsidRPr="00D4196F">
        <w:rPr>
          <w:rFonts w:ascii="楷体_GB2312" w:eastAsia="楷体_GB2312" w:hAnsi="Times New Roman" w:cs="CESI仿宋-GB13000" w:hint="eastAsia"/>
          <w:b/>
          <w:color w:val="000000"/>
          <w:sz w:val="32"/>
          <w:szCs w:val="32"/>
        </w:rPr>
        <w:t>1.重点机具核验</w:t>
      </w:r>
    </w:p>
    <w:p w:rsidR="000D2D59" w:rsidRDefault="000D2D59" w:rsidP="00A06C82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重点机具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包括：</w:t>
      </w:r>
      <w:r w:rsidR="00B0550F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自走式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收获机械</w:t>
      </w:r>
      <w:r w:rsidR="00B0550F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、拖拉机等纳入</w:t>
      </w:r>
      <w:r w:rsidR="00171841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牌证管理的农业机械</w:t>
      </w:r>
      <w:r w:rsidR="008A510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、</w:t>
      </w:r>
      <w:r w:rsidR="00377282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补贴额在3000元（含）以上的非牌证管理机具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、安装类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、设施类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及</w:t>
      </w:r>
      <w:r w:rsidR="008A5101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成套设施设备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。对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重点机具</w:t>
      </w:r>
      <w:r w:rsidR="00377282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须在补贴资金结算前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逐台进行核验</w:t>
      </w:r>
      <w:r w:rsidR="00377282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。</w:t>
      </w:r>
    </w:p>
    <w:p w:rsidR="000D2D59" w:rsidRDefault="000D2D59" w:rsidP="00A06C82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lastRenderedPageBreak/>
        <w:t>对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牌证管理机具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凭牌证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免于现场实物核验，重点核验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3项内容，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包括：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一是购机者携带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的《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拖拉机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和联合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收割机行驶证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信息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与安全监理系统推送到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办理服务系统牌证信息是否一致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；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二是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购机者携带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的《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拖拉机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和联合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收割机行驶证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信息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与安全监理系统推送到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办理服务系统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机具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信息是否一致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；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三是购机税控发票所显示经销企业信息与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办理服务系统内对应的经销信息是否一致。</w:t>
      </w:r>
    </w:p>
    <w:p w:rsidR="000D2D59" w:rsidRDefault="000D2D59" w:rsidP="00A06C82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非牌证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管理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的</w:t>
      </w:r>
      <w:r w:rsidR="000D73C8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重点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机具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重点核验</w:t>
      </w:r>
      <w:r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8项内容</w:t>
      </w:r>
      <w:r>
        <w:rPr>
          <w:rFonts w:ascii="仿宋_GB2312" w:eastAsia="仿宋_GB2312" w:hAnsi="Times New Roman" w:cs="CESI仿宋-GB13000"/>
          <w:color w:val="000000"/>
          <w:sz w:val="32"/>
          <w:szCs w:val="32"/>
        </w:rPr>
        <w:t>，包括：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一是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税控发票所显示的机具名称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与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所购实物机具铭牌显示信息是否一致；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二是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税控发票所显示的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生产企业与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所购实物机具铭牌显示信息是否一致；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三是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税控发票所显示的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型号与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所购实物机具铭牌显示信息是否一致；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四是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税控发票所显示的发动机号（不带动力的可不核验）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与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所购实物机具铭牌显示信息是否一致；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五是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税控发票所显示的出厂编号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与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所购实物机具铭牌显示信息是否一致；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六是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所购实物机具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铭牌显示信息与补贴办理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服务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系统内对应的机具信息是否一致；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七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是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购机税控发票所显示的经销企业与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补贴办理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服务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系统</w:t>
      </w:r>
      <w:r w:rsidR="006445E0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内对应的经销信息是否一致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；八是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是否</w:t>
      </w:r>
      <w:r w:rsidR="006445E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按时</w:t>
      </w:r>
      <w:r w:rsidR="006445E0">
        <w:rPr>
          <w:rFonts w:ascii="仿宋_GB2312" w:eastAsia="仿宋_GB2312" w:hAnsi="Times New Roman" w:cs="CESI仿宋-GB13000"/>
          <w:color w:val="000000"/>
          <w:sz w:val="32"/>
          <w:szCs w:val="32"/>
        </w:rPr>
        <w:t>提供机具。</w:t>
      </w:r>
    </w:p>
    <w:p w:rsidR="00171841" w:rsidRPr="00D4196F" w:rsidRDefault="00171841" w:rsidP="00A06C82">
      <w:pPr>
        <w:widowControl w:val="0"/>
        <w:spacing w:line="600" w:lineRule="exact"/>
        <w:ind w:firstLineChars="200" w:firstLine="643"/>
        <w:jc w:val="both"/>
        <w:rPr>
          <w:rFonts w:ascii="楷体_GB2312" w:eastAsia="楷体_GB2312" w:hAnsi="Times New Roman" w:cs="CESI仿宋-GB13000"/>
          <w:b/>
          <w:color w:val="000000"/>
          <w:sz w:val="32"/>
          <w:szCs w:val="32"/>
        </w:rPr>
      </w:pPr>
      <w:r w:rsidRPr="00D4196F">
        <w:rPr>
          <w:rFonts w:ascii="楷体_GB2312" w:eastAsia="楷体_GB2312" w:hAnsi="Times New Roman" w:cs="CESI仿宋-GB13000" w:hint="eastAsia"/>
          <w:b/>
          <w:color w:val="000000"/>
          <w:sz w:val="32"/>
          <w:szCs w:val="32"/>
        </w:rPr>
        <w:t>2</w:t>
      </w:r>
      <w:r w:rsidR="00DB42C6" w:rsidRPr="00D4196F">
        <w:rPr>
          <w:rFonts w:ascii="楷体_GB2312" w:eastAsia="楷体_GB2312" w:hAnsi="Times New Roman" w:cs="CESI仿宋-GB13000" w:hint="eastAsia"/>
          <w:b/>
          <w:color w:val="000000"/>
          <w:sz w:val="32"/>
          <w:szCs w:val="32"/>
        </w:rPr>
        <w:t>.</w:t>
      </w:r>
      <w:r w:rsidR="00DF444B" w:rsidRPr="00D4196F">
        <w:rPr>
          <w:rFonts w:ascii="楷体_GB2312" w:eastAsia="楷体_GB2312" w:hAnsi="Times New Roman" w:cs="CESI仿宋-GB13000" w:hint="eastAsia"/>
          <w:b/>
          <w:color w:val="000000"/>
          <w:sz w:val="32"/>
          <w:szCs w:val="32"/>
        </w:rPr>
        <w:t>非重点机具核验</w:t>
      </w:r>
    </w:p>
    <w:p w:rsidR="00171841" w:rsidRPr="00A06C82" w:rsidRDefault="00171841" w:rsidP="00A06C82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除重点机具外，其它补贴机具为非重点机具，</w:t>
      </w:r>
      <w:r w:rsidR="008953C1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各地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结合实际，</w:t>
      </w:r>
      <w:r w:rsidR="008953C1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确定抽查核查比例，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在补贴资金结算后</w:t>
      </w:r>
      <w:r w:rsidR="001E7339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进行</w:t>
      </w:r>
      <w:r w:rsidR="0080758D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，核验内容等同重点机具。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</w:t>
      </w:r>
      <w:r w:rsidR="00171841" w:rsidRPr="00A06C82">
        <w:rPr>
          <w:rFonts w:ascii="黑体" w:eastAsia="黑体" w:hAnsi="黑体" w:cs="黑体" w:hint="eastAsia"/>
          <w:color w:val="000000"/>
          <w:sz w:val="32"/>
          <w:szCs w:val="32"/>
        </w:rPr>
        <w:t>六</w:t>
      </w: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条</w:t>
      </w:r>
      <w:r w:rsidRPr="00A06C82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核验流程：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资料形式审查，对购机者二代身份证（购机者为组织的，需营业执照）、购机发票、“</w:t>
      </w:r>
      <w:r w:rsidR="003C4882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一卡通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”卡号或银行账户进行形式审查，信息一致。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机具现场核验，将补贴机具铭牌信息、整机出厂编号和发动机号（不配备发动机的不需要）与</w:t>
      </w:r>
      <w:r w:rsidR="007D5D73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办理服务系统信息进行比对核验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。</w:t>
      </w:r>
    </w:p>
    <w:p w:rsidR="003C205F" w:rsidRPr="00A06C82" w:rsidRDefault="00C97AFA" w:rsidP="00A06C82">
      <w:pPr>
        <w:widowControl w:val="0"/>
        <w:spacing w:line="600" w:lineRule="exact"/>
        <w:ind w:firstLineChars="200" w:firstLine="640"/>
        <w:rPr>
          <w:rFonts w:ascii="仿宋_GB2312" w:eastAsia="仿宋_GB2312" w:hAnsi="Times New Roman" w:cs="宋体"/>
          <w:color w:val="000000"/>
          <w:sz w:val="32"/>
          <w:szCs w:val="32"/>
        </w:rPr>
      </w:pP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第</w:t>
      </w:r>
      <w:r w:rsidR="00171841" w:rsidRPr="00A06C82">
        <w:rPr>
          <w:rFonts w:ascii="黑体" w:eastAsia="黑体" w:hAnsi="黑体" w:cs="黑体" w:hint="eastAsia"/>
          <w:color w:val="000000"/>
          <w:sz w:val="32"/>
          <w:szCs w:val="32"/>
        </w:rPr>
        <w:t>七</w:t>
      </w:r>
      <w:r w:rsidRPr="00A06C82">
        <w:rPr>
          <w:rFonts w:ascii="黑体" w:eastAsia="黑体" w:hAnsi="黑体" w:cs="黑体" w:hint="eastAsia"/>
          <w:color w:val="000000"/>
          <w:sz w:val="32"/>
          <w:szCs w:val="32"/>
        </w:rPr>
        <w:t>条</w:t>
      </w:r>
      <w:r w:rsidRPr="00A06C82">
        <w:rPr>
          <w:rFonts w:ascii="仿宋_GB2312" w:eastAsia="仿宋_GB2312" w:hAnsi="Times New Roman" w:cs="黑体" w:hint="eastAsia"/>
          <w:color w:val="000000"/>
          <w:sz w:val="32"/>
          <w:szCs w:val="32"/>
        </w:rPr>
        <w:t xml:space="preserve"> </w:t>
      </w:r>
      <w:r w:rsidRPr="00A06C82">
        <w:rPr>
          <w:rFonts w:ascii="仿宋_GB2312" w:eastAsia="仿宋_GB2312" w:hAnsi="Times New Roman" w:cs="宋体" w:hint="eastAsia"/>
          <w:color w:val="000000"/>
          <w:sz w:val="32"/>
          <w:szCs w:val="32"/>
        </w:rPr>
        <w:t xml:space="preserve"> 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其他要求：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现场核验人员</w:t>
      </w:r>
      <w:r w:rsidR="00496710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应不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少于2人，核验人员需对核验内容进行详细记录，购机者对核验结果签字。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现场核验需对购机者、补贴机具进行“人机合照”拍照存档。</w:t>
      </w:r>
    </w:p>
    <w:p w:rsidR="003C205F" w:rsidRPr="00A06C82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核验发现机具</w:t>
      </w:r>
      <w:r w:rsidR="007D5D73"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信息</w:t>
      </w: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有疑问的，可要求产销企业提供书面说明。</w:t>
      </w:r>
    </w:p>
    <w:p w:rsidR="003C205F" w:rsidRDefault="00C97AFA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  <w:r w:rsidRPr="00A06C82"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  <w:t>购机者不配合开展现场核验机具的，不予兑付补贴资金。</w:t>
      </w:r>
      <w:bookmarkStart w:id="0" w:name="_GoBack"/>
      <w:bookmarkEnd w:id="0"/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CESI仿宋-GB13000" w:hint="eastAsia"/>
          <w:color w:val="000000"/>
          <w:sz w:val="32"/>
          <w:szCs w:val="32"/>
        </w:rPr>
      </w:pPr>
    </w:p>
    <w:p w:rsidR="00D81ACD" w:rsidRDefault="00D81ACD" w:rsidP="00A06C82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Times New Roman" w:cs="宋体"/>
          <w:color w:val="000000"/>
          <w:sz w:val="32"/>
          <w:szCs w:val="32"/>
        </w:rPr>
        <w:sectPr w:rsidR="00D81ACD" w:rsidSect="001232F8">
          <w:footerReference w:type="default" r:id="rId8"/>
          <w:pgSz w:w="11906" w:h="16838"/>
          <w:pgMar w:top="2041" w:right="1474" w:bottom="1814" w:left="1587" w:header="720" w:footer="1417" w:gutter="0"/>
          <w:cols w:space="720"/>
          <w:docGrid w:type="lines" w:linePitch="316"/>
        </w:sectPr>
      </w:pPr>
    </w:p>
    <w:p w:rsidR="00D81ACD" w:rsidRDefault="00D81ACD" w:rsidP="00D81ACD">
      <w:pPr>
        <w:widowControl w:val="0"/>
        <w:adjustRightInd w:val="0"/>
        <w:snapToGrid w:val="0"/>
        <w:spacing w:line="600" w:lineRule="exact"/>
        <w:ind w:firstLine="645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D81ACD">
        <w:rPr>
          <w:rFonts w:ascii="黑体" w:eastAsia="黑体" w:hAnsi="黑体" w:cs="宋体"/>
          <w:color w:val="000000"/>
          <w:sz w:val="32"/>
          <w:szCs w:val="32"/>
        </w:rPr>
        <w:lastRenderedPageBreak/>
        <w:t>甘肃省农机购置补贴机具核验表</w:t>
      </w:r>
    </w:p>
    <w:p w:rsidR="00D81ACD" w:rsidRPr="00D81ACD" w:rsidRDefault="00D81ACD" w:rsidP="00D81ACD">
      <w:pPr>
        <w:widowControl w:val="0"/>
        <w:adjustRightInd w:val="0"/>
        <w:snapToGrid w:val="0"/>
        <w:spacing w:line="600" w:lineRule="exact"/>
        <w:ind w:firstLine="645"/>
        <w:rPr>
          <w:rFonts w:ascii="仿宋_GB2312" w:eastAsia="仿宋_GB2312" w:hAnsi="黑体" w:cs="宋体" w:hint="eastAsia"/>
          <w:color w:val="000000"/>
          <w:sz w:val="32"/>
          <w:szCs w:val="32"/>
        </w:rPr>
      </w:pPr>
      <w:r w:rsidRPr="00D81ACD">
        <w:rPr>
          <w:rFonts w:ascii="仿宋_GB2312" w:eastAsia="仿宋_GB2312" w:hAnsi="黑体" w:cs="宋体" w:hint="eastAsia"/>
          <w:color w:val="000000"/>
          <w:sz w:val="32"/>
          <w:szCs w:val="32"/>
        </w:rPr>
        <w:t>单位：</w:t>
      </w:r>
    </w:p>
    <w:tbl>
      <w:tblPr>
        <w:tblStyle w:val="a7"/>
        <w:tblW w:w="0" w:type="auto"/>
        <w:tblLook w:val="04A0"/>
      </w:tblPr>
      <w:tblGrid>
        <w:gridCol w:w="761"/>
        <w:gridCol w:w="992"/>
        <w:gridCol w:w="1899"/>
        <w:gridCol w:w="1559"/>
        <w:gridCol w:w="1134"/>
        <w:gridCol w:w="1560"/>
        <w:gridCol w:w="1559"/>
        <w:gridCol w:w="1134"/>
        <w:gridCol w:w="1134"/>
        <w:gridCol w:w="1417"/>
        <w:gridCol w:w="993"/>
        <w:gridCol w:w="1275"/>
      </w:tblGrid>
      <w:tr w:rsidR="00D81ACD" w:rsidRPr="00D81ACD" w:rsidTr="00AC71A6">
        <w:tc>
          <w:tcPr>
            <w:tcW w:w="761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购机者</w:t>
            </w:r>
          </w:p>
        </w:tc>
        <w:tc>
          <w:tcPr>
            <w:tcW w:w="1899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联系方式</w:t>
            </w:r>
          </w:p>
        </w:tc>
        <w:tc>
          <w:tcPr>
            <w:tcW w:w="1559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品目名称</w:t>
            </w:r>
          </w:p>
        </w:tc>
        <w:tc>
          <w:tcPr>
            <w:tcW w:w="1134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机具型号</w:t>
            </w:r>
          </w:p>
        </w:tc>
        <w:tc>
          <w:tcPr>
            <w:tcW w:w="1560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机具识别号码</w:t>
            </w:r>
          </w:p>
        </w:tc>
        <w:tc>
          <w:tcPr>
            <w:tcW w:w="1559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生产企业</w:t>
            </w:r>
          </w:p>
        </w:tc>
        <w:tc>
          <w:tcPr>
            <w:tcW w:w="1134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购买日期</w:t>
            </w:r>
          </w:p>
        </w:tc>
        <w:tc>
          <w:tcPr>
            <w:tcW w:w="2551" w:type="dxa"/>
            <w:gridSpan w:val="2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是否</w:t>
            </w:r>
            <w:r w:rsidR="00AC71A6">
              <w:rPr>
                <w:rFonts w:ascii="黑体" w:eastAsia="黑体" w:hAnsi="黑体" w:cs="宋体"/>
                <w:color w:val="000000"/>
                <w:szCs w:val="21"/>
              </w:rPr>
              <w:t>牌证</w:t>
            </w: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管理</w:t>
            </w:r>
          </w:p>
        </w:tc>
        <w:tc>
          <w:tcPr>
            <w:tcW w:w="993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是否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 xml:space="preserve">  </w:t>
            </w: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属实</w:t>
            </w:r>
          </w:p>
        </w:tc>
        <w:tc>
          <w:tcPr>
            <w:tcW w:w="1275" w:type="dxa"/>
            <w:vMerge w:val="restart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核验人员</w:t>
            </w:r>
          </w:p>
        </w:tc>
      </w:tr>
      <w:tr w:rsidR="00D81ACD" w:rsidRPr="00D81ACD" w:rsidTr="00AC71A6">
        <w:tc>
          <w:tcPr>
            <w:tcW w:w="761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是（否）</w:t>
            </w: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/>
                <w:color w:val="000000"/>
                <w:szCs w:val="21"/>
              </w:rPr>
              <w:t>号牌号码</w:t>
            </w:r>
          </w:p>
        </w:tc>
        <w:tc>
          <w:tcPr>
            <w:tcW w:w="993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D81ACD">
              <w:rPr>
                <w:rFonts w:ascii="黑体" w:eastAsia="黑体" w:hAnsi="黑体" w:cs="宋体" w:hint="eastAsia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D81ACD" w:rsidTr="00AC71A6">
        <w:tc>
          <w:tcPr>
            <w:tcW w:w="761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D81ACD" w:rsidRPr="00D81ACD" w:rsidRDefault="00D81ACD" w:rsidP="00AC71A6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</w:tbl>
    <w:p w:rsidR="00D81ACD" w:rsidRPr="00D81ACD" w:rsidRDefault="00D81ACD" w:rsidP="00D81ACD">
      <w:pPr>
        <w:widowControl w:val="0"/>
        <w:adjustRightInd w:val="0"/>
        <w:snapToGrid w:val="0"/>
        <w:spacing w:line="600" w:lineRule="exact"/>
        <w:rPr>
          <w:rFonts w:ascii="黑体" w:eastAsia="黑体" w:hAnsi="黑体" w:cs="宋体"/>
          <w:color w:val="000000"/>
          <w:sz w:val="32"/>
          <w:szCs w:val="32"/>
        </w:rPr>
      </w:pPr>
    </w:p>
    <w:sectPr w:rsidR="00D81ACD" w:rsidRPr="00D81ACD" w:rsidSect="00D81ACD">
      <w:pgSz w:w="16838" w:h="11906" w:orient="landscape" w:code="9"/>
      <w:pgMar w:top="720" w:right="720" w:bottom="720" w:left="720" w:header="720" w:footer="1418" w:gutter="0"/>
      <w:cols w:space="720"/>
      <w:docGrid w:type="linesAndChar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CB" w:rsidRDefault="003147CB">
      <w:pPr>
        <w:spacing w:line="240" w:lineRule="auto"/>
      </w:pPr>
      <w:r>
        <w:separator/>
      </w:r>
    </w:p>
  </w:endnote>
  <w:endnote w:type="continuationSeparator" w:id="0">
    <w:p w:rsidR="003147CB" w:rsidRDefault="00314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00"/>
    <w:family w:val="auto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仿宋"/>
    <w:charset w:val="86"/>
    <w:family w:val="auto"/>
    <w:pitch w:val="default"/>
    <w:sig w:usb0="800002BF" w:usb1="18CF7CF8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A6" w:rsidRPr="00C43F73" w:rsidRDefault="00525BA6" w:rsidP="00525BA6">
    <w:pPr>
      <w:pStyle w:val="a4"/>
      <w:jc w:val="center"/>
      <w:rPr>
        <w:rFonts w:ascii="宋体" w:hAnsi="宋体"/>
        <w:sz w:val="28"/>
        <w:szCs w:val="28"/>
      </w:rPr>
    </w:pPr>
    <w:r w:rsidRPr="00C43F73">
      <w:rPr>
        <w:rFonts w:ascii="宋体" w:hAnsi="宋体"/>
        <w:sz w:val="28"/>
        <w:szCs w:val="28"/>
      </w:rPr>
      <w:t xml:space="preserve">— </w:t>
    </w:r>
    <w:r w:rsidR="0071056E" w:rsidRPr="00C43F73">
      <w:rPr>
        <w:rFonts w:ascii="宋体" w:hAnsi="宋体"/>
        <w:sz w:val="28"/>
        <w:szCs w:val="28"/>
      </w:rPr>
      <w:fldChar w:fldCharType="begin"/>
    </w:r>
    <w:r w:rsidRPr="00C43F73">
      <w:rPr>
        <w:rFonts w:ascii="宋体" w:hAnsi="宋体"/>
        <w:sz w:val="28"/>
        <w:szCs w:val="28"/>
      </w:rPr>
      <w:instrText xml:space="preserve"> PAGE  \* MERGEFORMAT </w:instrText>
    </w:r>
    <w:r w:rsidR="0071056E" w:rsidRPr="00C43F73">
      <w:rPr>
        <w:rFonts w:ascii="宋体" w:hAnsi="宋体"/>
        <w:sz w:val="28"/>
        <w:szCs w:val="28"/>
      </w:rPr>
      <w:fldChar w:fldCharType="separate"/>
    </w:r>
    <w:r w:rsidR="00574F2E">
      <w:rPr>
        <w:rFonts w:ascii="宋体" w:hAnsi="宋体"/>
        <w:noProof/>
        <w:sz w:val="28"/>
        <w:szCs w:val="28"/>
      </w:rPr>
      <w:t>1</w:t>
    </w:r>
    <w:r w:rsidR="0071056E" w:rsidRPr="00C43F73">
      <w:rPr>
        <w:rFonts w:ascii="宋体" w:hAnsi="宋体"/>
        <w:sz w:val="28"/>
        <w:szCs w:val="28"/>
      </w:rPr>
      <w:fldChar w:fldCharType="end"/>
    </w:r>
    <w:r w:rsidRPr="00C43F73">
      <w:rPr>
        <w:rFonts w:ascii="宋体" w:hAnsi="宋体"/>
        <w:sz w:val="28"/>
        <w:szCs w:val="28"/>
      </w:rPr>
      <w:t xml:space="preserve"> —</w:t>
    </w:r>
  </w:p>
  <w:p w:rsidR="003C205F" w:rsidRDefault="003C205F" w:rsidP="00525BA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CB" w:rsidRDefault="003147CB">
      <w:pPr>
        <w:spacing w:line="240" w:lineRule="auto"/>
      </w:pPr>
      <w:r>
        <w:separator/>
      </w:r>
    </w:p>
  </w:footnote>
  <w:footnote w:type="continuationSeparator" w:id="0">
    <w:p w:rsidR="003147CB" w:rsidRDefault="003147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32F8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147CB"/>
    <w:rsid w:val="00326314"/>
    <w:rsid w:val="00331912"/>
    <w:rsid w:val="0033192B"/>
    <w:rsid w:val="003346CD"/>
    <w:rsid w:val="00347F9F"/>
    <w:rsid w:val="003501A0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278C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759C8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40D1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74F2E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56E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85085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66BF1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37300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C71A6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6C1"/>
    <w:rsid w:val="00D12A7D"/>
    <w:rsid w:val="00D25924"/>
    <w:rsid w:val="00D351B9"/>
    <w:rsid w:val="00D4196F"/>
    <w:rsid w:val="00D71C31"/>
    <w:rsid w:val="00D7467E"/>
    <w:rsid w:val="00D7469B"/>
    <w:rsid w:val="00D80DCF"/>
    <w:rsid w:val="00D81ACD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02F7E"/>
    <w:rsid w:val="00E21F9E"/>
    <w:rsid w:val="00E3409B"/>
    <w:rsid w:val="00E3618A"/>
    <w:rsid w:val="00E41069"/>
    <w:rsid w:val="00E42359"/>
    <w:rsid w:val="00E44B10"/>
    <w:rsid w:val="00E45846"/>
    <w:rsid w:val="00E534D8"/>
    <w:rsid w:val="00E66E3B"/>
    <w:rsid w:val="00E713D5"/>
    <w:rsid w:val="00E73198"/>
    <w:rsid w:val="00E84FFE"/>
    <w:rsid w:val="00EB2DDD"/>
    <w:rsid w:val="00EE3815"/>
    <w:rsid w:val="00EE73FD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F3DF5"/>
    <w:rsid w:val="342B5081"/>
    <w:rsid w:val="66A7799B"/>
    <w:rsid w:val="6F76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Variable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8"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759C8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4759C8"/>
    <w:pPr>
      <w:widowControl w:val="0"/>
      <w:spacing w:beforeLines="100" w:afterLines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759C8"/>
    <w:pPr>
      <w:widowControl w:val="0"/>
      <w:spacing w:line="240" w:lineRule="auto"/>
      <w:jc w:val="both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759C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4759C8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6">
    <w:name w:val="Normal (Web)"/>
    <w:basedOn w:val="a"/>
    <w:uiPriority w:val="99"/>
    <w:qFormat/>
    <w:rsid w:val="004759C8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4759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759C8"/>
    <w:rPr>
      <w:b/>
      <w:bCs/>
    </w:rPr>
  </w:style>
  <w:style w:type="character" w:styleId="a9">
    <w:name w:val="FollowedHyperlink"/>
    <w:rsid w:val="004759C8"/>
    <w:rPr>
      <w:color w:val="000000"/>
      <w:u w:val="none"/>
    </w:rPr>
  </w:style>
  <w:style w:type="character" w:styleId="HTML">
    <w:name w:val="HTML Definition"/>
    <w:rsid w:val="004759C8"/>
  </w:style>
  <w:style w:type="character" w:styleId="HTML0">
    <w:name w:val="HTML Variable"/>
    <w:qFormat/>
    <w:rsid w:val="004759C8"/>
  </w:style>
  <w:style w:type="character" w:styleId="aa">
    <w:name w:val="Hyperlink"/>
    <w:rsid w:val="004759C8"/>
    <w:rPr>
      <w:color w:val="000000"/>
      <w:u w:val="none"/>
    </w:rPr>
  </w:style>
  <w:style w:type="character" w:styleId="HTML1">
    <w:name w:val="HTML Code"/>
    <w:rsid w:val="004759C8"/>
    <w:rPr>
      <w:rFonts w:ascii="Courier New" w:hAnsi="Courier New"/>
      <w:sz w:val="20"/>
    </w:rPr>
  </w:style>
  <w:style w:type="character" w:styleId="HTML2">
    <w:name w:val="HTML Cite"/>
    <w:rsid w:val="004759C8"/>
  </w:style>
  <w:style w:type="character" w:customStyle="1" w:styleId="1Char">
    <w:name w:val="标题 1 Char"/>
    <w:basedOn w:val="a0"/>
    <w:link w:val="1"/>
    <w:rsid w:val="004759C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759C8"/>
    <w:rPr>
      <w:rFonts w:ascii="Calibri" w:eastAsia="宋体" w:hAnsi="Calibri" w:cs="Times New Roman"/>
      <w:szCs w:val="36"/>
    </w:rPr>
  </w:style>
  <w:style w:type="character" w:customStyle="1" w:styleId="Char">
    <w:name w:val="批注框文本 Char"/>
    <w:link w:val="a3"/>
    <w:rsid w:val="004759C8"/>
    <w:rPr>
      <w:sz w:val="18"/>
      <w:szCs w:val="18"/>
    </w:rPr>
  </w:style>
  <w:style w:type="character" w:customStyle="1" w:styleId="place1">
    <w:name w:val="place1"/>
    <w:rsid w:val="004759C8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  <w:rsid w:val="004759C8"/>
  </w:style>
  <w:style w:type="character" w:customStyle="1" w:styleId="gwdsnopic1">
    <w:name w:val="gwds_nopic1"/>
    <w:basedOn w:val="a0"/>
    <w:qFormat/>
    <w:rsid w:val="004759C8"/>
  </w:style>
  <w:style w:type="character" w:customStyle="1" w:styleId="place3">
    <w:name w:val="place3"/>
    <w:rsid w:val="004759C8"/>
  </w:style>
  <w:style w:type="character" w:customStyle="1" w:styleId="laypagecurr">
    <w:name w:val="laypage_curr"/>
    <w:rsid w:val="004759C8"/>
    <w:rPr>
      <w:color w:val="FFFDF4"/>
      <w:shd w:val="clear" w:color="auto" w:fill="0B67A6"/>
    </w:rPr>
  </w:style>
  <w:style w:type="character" w:customStyle="1" w:styleId="noline">
    <w:name w:val="noline"/>
    <w:basedOn w:val="a0"/>
    <w:rsid w:val="004759C8"/>
  </w:style>
  <w:style w:type="character" w:customStyle="1" w:styleId="place">
    <w:name w:val="place"/>
    <w:rsid w:val="004759C8"/>
  </w:style>
  <w:style w:type="character" w:customStyle="1" w:styleId="hover19">
    <w:name w:val="hover19"/>
    <w:rsid w:val="004759C8"/>
    <w:rPr>
      <w:color w:val="025291"/>
    </w:rPr>
  </w:style>
  <w:style w:type="character" w:customStyle="1" w:styleId="font1">
    <w:name w:val="font1"/>
    <w:basedOn w:val="a0"/>
    <w:rsid w:val="004759C8"/>
  </w:style>
  <w:style w:type="character" w:customStyle="1" w:styleId="font">
    <w:name w:val="font"/>
    <w:basedOn w:val="a0"/>
    <w:rsid w:val="004759C8"/>
  </w:style>
  <w:style w:type="character" w:customStyle="1" w:styleId="place2">
    <w:name w:val="place2"/>
    <w:rsid w:val="004759C8"/>
  </w:style>
  <w:style w:type="character" w:customStyle="1" w:styleId="Char1">
    <w:name w:val="页眉 Char"/>
    <w:basedOn w:val="a0"/>
    <w:link w:val="a5"/>
    <w:rsid w:val="004759C8"/>
    <w:rPr>
      <w:rFonts w:ascii="DejaVu Sans" w:eastAsia="宋体" w:hAnsi="DejaVu Sans" w:cs="Times New Roman"/>
      <w:sz w:val="18"/>
      <w:szCs w:val="24"/>
    </w:rPr>
  </w:style>
  <w:style w:type="character" w:customStyle="1" w:styleId="Char0">
    <w:name w:val="页脚 Char"/>
    <w:basedOn w:val="a0"/>
    <w:link w:val="a4"/>
    <w:uiPriority w:val="99"/>
    <w:rsid w:val="004759C8"/>
    <w:rPr>
      <w:rFonts w:ascii="Calibri" w:eastAsia="宋体" w:hAnsi="Calibri" w:cs="Times New Roman"/>
      <w:sz w:val="18"/>
      <w:szCs w:val="24"/>
    </w:rPr>
  </w:style>
  <w:style w:type="character" w:customStyle="1" w:styleId="10">
    <w:name w:val="批注框文本 字符1"/>
    <w:basedOn w:val="a0"/>
    <w:uiPriority w:val="99"/>
    <w:semiHidden/>
    <w:rsid w:val="004759C8"/>
    <w:rPr>
      <w:sz w:val="18"/>
      <w:szCs w:val="18"/>
    </w:rPr>
  </w:style>
  <w:style w:type="paragraph" w:customStyle="1" w:styleId="11">
    <w:name w:val="无间隔1"/>
    <w:qFormat/>
    <w:rsid w:val="004759C8"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3B9F9-3439-4BCC-8CAC-3623B99E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2021-07-06T06:50:00Z</cp:lastPrinted>
  <dcterms:created xsi:type="dcterms:W3CDTF">2022-02-24T02:40:00Z</dcterms:created>
  <dcterms:modified xsi:type="dcterms:W3CDTF">2022-02-24T02:40:00Z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03BA77EF76C9490CAD1867FED151814B</vt:lpwstr>
  </property>
</Properties>
</file>